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B5054C">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7777777" w:rsidR="00B5054C" w:rsidRPr="007243E6" w:rsidRDefault="00B5054C" w:rsidP="00B5054C">
      <w:pPr>
        <w:keepNext/>
        <w:keepLines/>
        <w:spacing w:before="120"/>
        <w:ind w:left="102"/>
        <w:jc w:val="center"/>
        <w:rPr>
          <w:rFonts w:cs="Calibri"/>
          <w:bCs/>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Pr>
          <w:spacing w:val="-2"/>
          <w:sz w:val="24"/>
          <w:szCs w:val="24"/>
        </w:rPr>
        <w:t>4</w:t>
      </w:r>
      <w:r w:rsidRPr="000D69CE">
        <w:rPr>
          <w:spacing w:val="-2"/>
          <w:sz w:val="24"/>
          <w:szCs w:val="24"/>
        </w:rPr>
        <w:t xml:space="preserve"> </w:t>
      </w:r>
      <w:r w:rsidRPr="001C4C6B">
        <w:rPr>
          <w:rFonts w:cs="Calibri"/>
          <w:color w:val="000000"/>
          <w:sz w:val="24"/>
          <w:szCs w:val="24"/>
        </w:rPr>
        <w:t>Wspieranie uczenia się przez całe życie</w:t>
      </w:r>
    </w:p>
    <w:p w14:paraId="44975765" w14:textId="77777777" w:rsidR="00B5054C" w:rsidRPr="000D69CE" w:rsidRDefault="00B5054C" w:rsidP="00B5054C">
      <w:pPr>
        <w:shd w:val="clear" w:color="auto" w:fill="FFFFFF"/>
        <w:spacing w:before="720" w:after="72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(g) Wspieranie uczenia się przez całe życie, w szczególności elastycznych możliwości podnoszenia i zmiany kwalifikacji dla wszystkich, z</w:t>
      </w:r>
      <w:r>
        <w:rPr>
          <w:iCs/>
          <w:spacing w:val="-1"/>
          <w:sz w:val="24"/>
          <w:szCs w:val="24"/>
        </w:rPr>
        <w:t> </w:t>
      </w:r>
      <w:r w:rsidRPr="007243E6">
        <w:rPr>
          <w:iCs/>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iCs/>
          <w:spacing w:val="-1"/>
          <w:sz w:val="24"/>
          <w:szCs w:val="24"/>
        </w:rPr>
        <w:t> </w:t>
      </w:r>
      <w:r w:rsidRPr="007243E6">
        <w:rPr>
          <w:iCs/>
          <w:spacing w:val="-1"/>
          <w:sz w:val="24"/>
          <w:szCs w:val="24"/>
        </w:rPr>
        <w:t>wspieranie mobilności zawodowej</w:t>
      </w:r>
    </w:p>
    <w:p w14:paraId="7D00A444" w14:textId="7777777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Pr>
          <w:color w:val="000000" w:themeColor="text1"/>
          <w:spacing w:val="-3"/>
          <w:sz w:val="24"/>
          <w:szCs w:val="24"/>
        </w:rPr>
        <w:t>4</w:t>
      </w:r>
      <w:r w:rsidRPr="00211FC2">
        <w:rPr>
          <w:color w:val="000000" w:themeColor="text1"/>
          <w:spacing w:val="-3"/>
          <w:sz w:val="24"/>
          <w:szCs w:val="24"/>
        </w:rPr>
        <w:t>-IP.01-00</w:t>
      </w:r>
      <w:r>
        <w:rPr>
          <w:color w:val="000000" w:themeColor="text1"/>
          <w:spacing w:val="-3"/>
          <w:sz w:val="24"/>
          <w:szCs w:val="24"/>
        </w:rPr>
        <w:t>1</w:t>
      </w:r>
      <w:r w:rsidRPr="00211FC2">
        <w:rPr>
          <w:color w:val="000000" w:themeColor="text1"/>
          <w:spacing w:val="-3"/>
          <w:sz w:val="24"/>
          <w:szCs w:val="24"/>
        </w:rPr>
        <w:t>/2</w:t>
      </w:r>
      <w:r>
        <w:rPr>
          <w:color w:val="000000" w:themeColor="text1"/>
          <w:spacing w:val="-3"/>
          <w:sz w:val="24"/>
          <w:szCs w:val="24"/>
        </w:rPr>
        <w:t>4</w:t>
      </w:r>
    </w:p>
    <w:p w14:paraId="1CAAB818" w14:textId="20D53F52" w:rsidR="00B5054C" w:rsidRPr="00211FC2" w:rsidRDefault="00B5054C" w:rsidP="00B5054C">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5859F7">
        <w:rPr>
          <w:color w:val="000000" w:themeColor="text1"/>
          <w:spacing w:val="-3"/>
          <w:sz w:val="24"/>
          <w:szCs w:val="24"/>
        </w:rPr>
        <w:t>5</w:t>
      </w:r>
      <w:r w:rsidRPr="00211FC2">
        <w:rPr>
          <w:color w:val="000000" w:themeColor="text1"/>
          <w:spacing w:val="-3"/>
          <w:sz w:val="24"/>
          <w:szCs w:val="24"/>
        </w:rPr>
        <w:t>)</w:t>
      </w:r>
    </w:p>
    <w:p w14:paraId="4F739E42" w14:textId="059C382E" w:rsidR="00BA362D" w:rsidRPr="00211FC2" w:rsidRDefault="00B5054C" w:rsidP="00B5054C">
      <w:pPr>
        <w:spacing w:before="200"/>
        <w:jc w:val="center"/>
        <w:rPr>
          <w:sz w:val="24"/>
          <w:szCs w:val="24"/>
        </w:rPr>
      </w:pPr>
      <w:r w:rsidRPr="00211FC2">
        <w:rPr>
          <w:sz w:val="24"/>
          <w:szCs w:val="24"/>
        </w:rPr>
        <w:t>Białystok</w:t>
      </w:r>
      <w:r w:rsidRPr="00661BA1">
        <w:rPr>
          <w:sz w:val="24"/>
          <w:szCs w:val="24"/>
        </w:rPr>
        <w:t xml:space="preserve">, </w:t>
      </w:r>
      <w:r w:rsidR="00B0685F">
        <w:rPr>
          <w:sz w:val="24"/>
          <w:szCs w:val="24"/>
        </w:rPr>
        <w:t>24</w:t>
      </w:r>
      <w:r w:rsidR="00AA03F8">
        <w:rPr>
          <w:sz w:val="24"/>
          <w:szCs w:val="24"/>
        </w:rPr>
        <w:t>.</w:t>
      </w:r>
      <w:r w:rsidR="007104C2">
        <w:rPr>
          <w:sz w:val="24"/>
          <w:szCs w:val="24"/>
        </w:rPr>
        <w:t>06</w:t>
      </w:r>
      <w:r w:rsidR="00AA03F8">
        <w:rPr>
          <w:sz w:val="24"/>
          <w:szCs w:val="24"/>
        </w:rPr>
        <w:t>.</w:t>
      </w:r>
      <w:r w:rsidRPr="00661BA1">
        <w:rPr>
          <w:sz w:val="24"/>
          <w:szCs w:val="24"/>
        </w:rPr>
        <w:t>202</w:t>
      </w:r>
      <w:r w:rsidR="007104C2">
        <w:rPr>
          <w:sz w:val="24"/>
          <w:szCs w:val="24"/>
        </w:rPr>
        <w:t>5</w:t>
      </w:r>
      <w:r w:rsidRPr="00661BA1">
        <w:rPr>
          <w:sz w:val="24"/>
          <w:szCs w:val="24"/>
        </w:rPr>
        <w:t xml:space="preserve">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5E2CEF" w:rsidRDefault="00C71F74" w:rsidP="00630DF0">
          <w:pPr>
            <w:pStyle w:val="Nagwekspisutreci"/>
            <w:spacing w:after="240" w:line="276" w:lineRule="auto"/>
            <w:rPr>
              <w:rFonts w:ascii="Arial" w:hAnsi="Arial" w:cs="Arial"/>
              <w:color w:val="auto"/>
              <w:sz w:val="24"/>
              <w:szCs w:val="24"/>
            </w:rPr>
          </w:pPr>
          <w:r w:rsidRPr="005E2CEF">
            <w:rPr>
              <w:rFonts w:ascii="Arial" w:hAnsi="Arial" w:cs="Arial"/>
              <w:color w:val="auto"/>
              <w:sz w:val="24"/>
              <w:szCs w:val="24"/>
            </w:rPr>
            <w:t>Spis treści</w:t>
          </w:r>
        </w:p>
        <w:p w14:paraId="7F1C1AA0" w14:textId="2C490FF4" w:rsidR="002E0B03" w:rsidRPr="005E2CEF"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5E2CEF">
            <w:rPr>
              <w:sz w:val="24"/>
              <w:szCs w:val="24"/>
            </w:rPr>
            <w:fldChar w:fldCharType="begin"/>
          </w:r>
          <w:r w:rsidRPr="005E2CEF">
            <w:rPr>
              <w:sz w:val="24"/>
              <w:szCs w:val="24"/>
            </w:rPr>
            <w:instrText xml:space="preserve"> TOC \o "1-3" \h \z \u </w:instrText>
          </w:r>
          <w:r w:rsidRPr="005E2CEF">
            <w:rPr>
              <w:sz w:val="24"/>
              <w:szCs w:val="24"/>
            </w:rPr>
            <w:fldChar w:fldCharType="separate"/>
          </w:r>
          <w:hyperlink w:anchor="_Toc200113153" w:history="1">
            <w:r w:rsidR="002E0B03" w:rsidRPr="005E2CEF">
              <w:rPr>
                <w:rStyle w:val="Hipercze"/>
                <w:b/>
                <w:bCs/>
                <w:noProof/>
                <w:sz w:val="24"/>
                <w:szCs w:val="24"/>
              </w:rPr>
              <w:t>Wykaz skrótów i pojęć</w:t>
            </w:r>
            <w:r w:rsidR="002E0B03" w:rsidRPr="005E2CEF">
              <w:rPr>
                <w:noProof/>
                <w:webHidden/>
                <w:sz w:val="24"/>
                <w:szCs w:val="24"/>
              </w:rPr>
              <w:tab/>
            </w:r>
            <w:r w:rsidR="002E0B03" w:rsidRPr="005E2CEF">
              <w:rPr>
                <w:noProof/>
                <w:webHidden/>
                <w:sz w:val="24"/>
                <w:szCs w:val="24"/>
              </w:rPr>
              <w:fldChar w:fldCharType="begin"/>
            </w:r>
            <w:r w:rsidR="002E0B03" w:rsidRPr="005E2CEF">
              <w:rPr>
                <w:noProof/>
                <w:webHidden/>
                <w:sz w:val="24"/>
                <w:szCs w:val="24"/>
              </w:rPr>
              <w:instrText xml:space="preserve"> PAGEREF _Toc200113153 \h </w:instrText>
            </w:r>
            <w:r w:rsidR="002E0B03" w:rsidRPr="005E2CEF">
              <w:rPr>
                <w:noProof/>
                <w:webHidden/>
                <w:sz w:val="24"/>
                <w:szCs w:val="24"/>
              </w:rPr>
            </w:r>
            <w:r w:rsidR="002E0B03" w:rsidRPr="005E2CEF">
              <w:rPr>
                <w:noProof/>
                <w:webHidden/>
                <w:sz w:val="24"/>
                <w:szCs w:val="24"/>
              </w:rPr>
              <w:fldChar w:fldCharType="separate"/>
            </w:r>
            <w:r w:rsidR="003C328C">
              <w:rPr>
                <w:noProof/>
                <w:webHidden/>
                <w:sz w:val="24"/>
                <w:szCs w:val="24"/>
              </w:rPr>
              <w:t>4</w:t>
            </w:r>
            <w:r w:rsidR="002E0B03" w:rsidRPr="005E2CEF">
              <w:rPr>
                <w:noProof/>
                <w:webHidden/>
                <w:sz w:val="24"/>
                <w:szCs w:val="24"/>
              </w:rPr>
              <w:fldChar w:fldCharType="end"/>
            </w:r>
          </w:hyperlink>
        </w:p>
        <w:p w14:paraId="74366728" w14:textId="27E846E1" w:rsidR="002E0B03" w:rsidRPr="005E2CEF" w:rsidRDefault="002E0B03">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200113154" w:history="1">
            <w:r w:rsidRPr="005E2CEF">
              <w:rPr>
                <w:rStyle w:val="Hipercze"/>
                <w:b/>
                <w:bCs/>
                <w:noProof/>
                <w:sz w:val="24"/>
                <w:szCs w:val="24"/>
              </w:rPr>
              <w:t>Słowniczek</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_Toc200113154 \h </w:instrText>
            </w:r>
            <w:r w:rsidRPr="005E2CEF">
              <w:rPr>
                <w:noProof/>
                <w:webHidden/>
                <w:sz w:val="24"/>
                <w:szCs w:val="24"/>
              </w:rPr>
            </w:r>
            <w:r w:rsidRPr="005E2CEF">
              <w:rPr>
                <w:noProof/>
                <w:webHidden/>
                <w:sz w:val="24"/>
                <w:szCs w:val="24"/>
              </w:rPr>
              <w:fldChar w:fldCharType="separate"/>
            </w:r>
            <w:r w:rsidR="003C328C">
              <w:rPr>
                <w:noProof/>
                <w:webHidden/>
                <w:sz w:val="24"/>
                <w:szCs w:val="24"/>
              </w:rPr>
              <w:t>6</w:t>
            </w:r>
            <w:r w:rsidRPr="005E2CEF">
              <w:rPr>
                <w:noProof/>
                <w:webHidden/>
                <w:sz w:val="24"/>
                <w:szCs w:val="24"/>
              </w:rPr>
              <w:fldChar w:fldCharType="end"/>
            </w:r>
          </w:hyperlink>
        </w:p>
        <w:p w14:paraId="66204D42" w14:textId="6DF73593"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55" w:history="1">
            <w:r w:rsidRPr="005E2CEF">
              <w:rPr>
                <w:rStyle w:val="Hipercze"/>
                <w:b/>
                <w:noProof/>
                <w:sz w:val="24"/>
                <w:szCs w:val="24"/>
              </w:rPr>
              <w:t>1</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INFORMACJE OGÓLNE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_Toc200113155 \h </w:instrText>
            </w:r>
            <w:r w:rsidRPr="005E2CEF">
              <w:rPr>
                <w:noProof/>
                <w:webHidden/>
                <w:sz w:val="24"/>
                <w:szCs w:val="24"/>
              </w:rPr>
            </w:r>
            <w:r w:rsidRPr="005E2CEF">
              <w:rPr>
                <w:noProof/>
                <w:webHidden/>
                <w:sz w:val="24"/>
                <w:szCs w:val="24"/>
              </w:rPr>
              <w:fldChar w:fldCharType="separate"/>
            </w:r>
            <w:r w:rsidR="003C328C">
              <w:rPr>
                <w:noProof/>
                <w:webHidden/>
                <w:sz w:val="24"/>
                <w:szCs w:val="24"/>
              </w:rPr>
              <w:t>8</w:t>
            </w:r>
            <w:r w:rsidRPr="005E2CEF">
              <w:rPr>
                <w:noProof/>
                <w:webHidden/>
                <w:sz w:val="24"/>
                <w:szCs w:val="24"/>
              </w:rPr>
              <w:fldChar w:fldCharType="end"/>
            </w:r>
          </w:hyperlink>
        </w:p>
        <w:p w14:paraId="0040D431" w14:textId="0D7A7B8F"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6" w:history="1">
            <w:r w:rsidRPr="005E2CEF">
              <w:rPr>
                <w:rStyle w:val="Hipercze"/>
                <w:noProof/>
                <w:sz w:val="24"/>
                <w:szCs w:val="24"/>
              </w:rPr>
              <w:t>1.1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Podstawy prawne i dokumenty programowe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_Toc200113156 \h </w:instrText>
            </w:r>
            <w:r w:rsidRPr="005E2CEF">
              <w:rPr>
                <w:noProof/>
                <w:webHidden/>
                <w:sz w:val="24"/>
                <w:szCs w:val="24"/>
              </w:rPr>
            </w:r>
            <w:r w:rsidRPr="005E2CEF">
              <w:rPr>
                <w:noProof/>
                <w:webHidden/>
                <w:sz w:val="24"/>
                <w:szCs w:val="24"/>
              </w:rPr>
              <w:fldChar w:fldCharType="separate"/>
            </w:r>
            <w:r w:rsidR="003C328C">
              <w:rPr>
                <w:noProof/>
                <w:webHidden/>
                <w:sz w:val="24"/>
                <w:szCs w:val="24"/>
              </w:rPr>
              <w:t>8</w:t>
            </w:r>
            <w:r w:rsidRPr="005E2CEF">
              <w:rPr>
                <w:noProof/>
                <w:webHidden/>
                <w:sz w:val="24"/>
                <w:szCs w:val="24"/>
              </w:rPr>
              <w:fldChar w:fldCharType="end"/>
            </w:r>
          </w:hyperlink>
        </w:p>
        <w:p w14:paraId="52190EE7" w14:textId="50AFFCC2"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7" w:history="1">
            <w:r w:rsidRPr="005E2CEF">
              <w:rPr>
                <w:rStyle w:val="Hipercze"/>
                <w:noProof/>
                <w:sz w:val="24"/>
                <w:szCs w:val="24"/>
              </w:rPr>
              <w:t>1.2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Informacje na temat zmiany dokumentu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_Toc200113157 \h </w:instrText>
            </w:r>
            <w:r w:rsidRPr="005E2CEF">
              <w:rPr>
                <w:noProof/>
                <w:webHidden/>
                <w:sz w:val="24"/>
                <w:szCs w:val="24"/>
              </w:rPr>
            </w:r>
            <w:r w:rsidRPr="005E2CEF">
              <w:rPr>
                <w:noProof/>
                <w:webHidden/>
                <w:sz w:val="24"/>
                <w:szCs w:val="24"/>
              </w:rPr>
              <w:fldChar w:fldCharType="separate"/>
            </w:r>
            <w:r w:rsidR="003C328C">
              <w:rPr>
                <w:noProof/>
                <w:webHidden/>
                <w:sz w:val="24"/>
                <w:szCs w:val="24"/>
              </w:rPr>
              <w:t>10</w:t>
            </w:r>
            <w:r w:rsidRPr="005E2CEF">
              <w:rPr>
                <w:noProof/>
                <w:webHidden/>
                <w:sz w:val="24"/>
                <w:szCs w:val="24"/>
              </w:rPr>
              <w:fldChar w:fldCharType="end"/>
            </w:r>
          </w:hyperlink>
        </w:p>
        <w:p w14:paraId="265D891D" w14:textId="7D63AF4B"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58" w:history="1">
            <w:r w:rsidRPr="005E2CEF">
              <w:rPr>
                <w:rStyle w:val="Hipercze"/>
                <w:b/>
                <w:noProof/>
                <w:sz w:val="24"/>
                <w:szCs w:val="24"/>
              </w:rPr>
              <w:t>2</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INFORMACJE O NABORZE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_Toc200113158 \h </w:instrText>
            </w:r>
            <w:r w:rsidRPr="005E2CEF">
              <w:rPr>
                <w:noProof/>
                <w:webHidden/>
                <w:sz w:val="24"/>
                <w:szCs w:val="24"/>
              </w:rPr>
            </w:r>
            <w:r w:rsidRPr="005E2CEF">
              <w:rPr>
                <w:noProof/>
                <w:webHidden/>
                <w:sz w:val="24"/>
                <w:szCs w:val="24"/>
              </w:rPr>
              <w:fldChar w:fldCharType="separate"/>
            </w:r>
            <w:r w:rsidR="003C328C">
              <w:rPr>
                <w:noProof/>
                <w:webHidden/>
                <w:sz w:val="24"/>
                <w:szCs w:val="24"/>
              </w:rPr>
              <w:t>11</w:t>
            </w:r>
            <w:r w:rsidRPr="005E2CEF">
              <w:rPr>
                <w:noProof/>
                <w:webHidden/>
                <w:sz w:val="24"/>
                <w:szCs w:val="24"/>
              </w:rPr>
              <w:fldChar w:fldCharType="end"/>
            </w:r>
          </w:hyperlink>
        </w:p>
        <w:p w14:paraId="6D61F38D" w14:textId="276089BD"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9" w:history="1">
            <w:r w:rsidRPr="005E2CEF">
              <w:rPr>
                <w:rStyle w:val="Hipercze"/>
                <w:noProof/>
                <w:sz w:val="24"/>
                <w:szCs w:val="24"/>
              </w:rPr>
              <w:t>2.1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Przedmiot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_Toc200113159 \h </w:instrText>
            </w:r>
            <w:r w:rsidRPr="005E2CEF">
              <w:rPr>
                <w:noProof/>
                <w:webHidden/>
                <w:sz w:val="24"/>
                <w:szCs w:val="24"/>
              </w:rPr>
            </w:r>
            <w:r w:rsidRPr="005E2CEF">
              <w:rPr>
                <w:noProof/>
                <w:webHidden/>
                <w:sz w:val="24"/>
                <w:szCs w:val="24"/>
              </w:rPr>
              <w:fldChar w:fldCharType="separate"/>
            </w:r>
            <w:r w:rsidR="003C328C">
              <w:rPr>
                <w:noProof/>
                <w:webHidden/>
                <w:sz w:val="24"/>
                <w:szCs w:val="24"/>
              </w:rPr>
              <w:t>11</w:t>
            </w:r>
            <w:r w:rsidRPr="005E2CEF">
              <w:rPr>
                <w:noProof/>
                <w:webHidden/>
                <w:sz w:val="24"/>
                <w:szCs w:val="24"/>
              </w:rPr>
              <w:fldChar w:fldCharType="end"/>
            </w:r>
          </w:hyperlink>
        </w:p>
        <w:p w14:paraId="61C95624" w14:textId="77ED4273"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0" w:history="1">
            <w:r w:rsidRPr="005E2CEF">
              <w:rPr>
                <w:rStyle w:val="Hipercze"/>
                <w:noProof/>
                <w:sz w:val="24"/>
                <w:szCs w:val="24"/>
              </w:rPr>
              <w:t>2.2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Podstawowe informacje o naborze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_Toc200113160 \h </w:instrText>
            </w:r>
            <w:r w:rsidRPr="005E2CEF">
              <w:rPr>
                <w:noProof/>
                <w:webHidden/>
                <w:sz w:val="24"/>
                <w:szCs w:val="24"/>
              </w:rPr>
            </w:r>
            <w:r w:rsidRPr="005E2CEF">
              <w:rPr>
                <w:noProof/>
                <w:webHidden/>
                <w:sz w:val="24"/>
                <w:szCs w:val="24"/>
              </w:rPr>
              <w:fldChar w:fldCharType="separate"/>
            </w:r>
            <w:r w:rsidR="003C328C">
              <w:rPr>
                <w:noProof/>
                <w:webHidden/>
                <w:sz w:val="24"/>
                <w:szCs w:val="24"/>
              </w:rPr>
              <w:t>12</w:t>
            </w:r>
            <w:r w:rsidRPr="005E2CEF">
              <w:rPr>
                <w:noProof/>
                <w:webHidden/>
                <w:sz w:val="24"/>
                <w:szCs w:val="24"/>
              </w:rPr>
              <w:fldChar w:fldCharType="end"/>
            </w:r>
          </w:hyperlink>
        </w:p>
        <w:p w14:paraId="03FA8EE7" w14:textId="045CDFA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1" w:history="1">
            <w:r w:rsidRPr="005E2CEF">
              <w:rPr>
                <w:rStyle w:val="Hipercze"/>
                <w:noProof/>
                <w:sz w:val="24"/>
                <w:szCs w:val="24"/>
              </w:rPr>
              <w:t>2.3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Sposób komunikacji oraz udzielanie dodatkowych informacji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_Toc200113161 \h </w:instrText>
            </w:r>
            <w:r w:rsidRPr="005E2CEF">
              <w:rPr>
                <w:noProof/>
                <w:webHidden/>
                <w:sz w:val="24"/>
                <w:szCs w:val="24"/>
              </w:rPr>
            </w:r>
            <w:r w:rsidRPr="005E2CEF">
              <w:rPr>
                <w:noProof/>
                <w:webHidden/>
                <w:sz w:val="24"/>
                <w:szCs w:val="24"/>
              </w:rPr>
              <w:fldChar w:fldCharType="separate"/>
            </w:r>
            <w:r w:rsidR="003C328C">
              <w:rPr>
                <w:noProof/>
                <w:webHidden/>
                <w:sz w:val="24"/>
                <w:szCs w:val="24"/>
              </w:rPr>
              <w:t>14</w:t>
            </w:r>
            <w:r w:rsidRPr="005E2CEF">
              <w:rPr>
                <w:noProof/>
                <w:webHidden/>
                <w:sz w:val="24"/>
                <w:szCs w:val="24"/>
              </w:rPr>
              <w:fldChar w:fldCharType="end"/>
            </w:r>
          </w:hyperlink>
        </w:p>
        <w:p w14:paraId="3E48F601" w14:textId="5C9844F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2" w:history="1">
            <w:r w:rsidRPr="005E2CEF">
              <w:rPr>
                <w:rStyle w:val="Hipercze"/>
                <w:noProof/>
                <w:sz w:val="24"/>
                <w:szCs w:val="24"/>
              </w:rPr>
              <w:t>2.4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Źródła finansowania i kwota środków przeznaczona na nabór</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_Toc200113162 \h </w:instrText>
            </w:r>
            <w:r w:rsidRPr="005E2CEF">
              <w:rPr>
                <w:noProof/>
                <w:webHidden/>
                <w:sz w:val="24"/>
                <w:szCs w:val="24"/>
              </w:rPr>
            </w:r>
            <w:r w:rsidRPr="005E2CEF">
              <w:rPr>
                <w:noProof/>
                <w:webHidden/>
                <w:sz w:val="24"/>
                <w:szCs w:val="24"/>
              </w:rPr>
              <w:fldChar w:fldCharType="separate"/>
            </w:r>
            <w:r w:rsidR="003C328C">
              <w:rPr>
                <w:noProof/>
                <w:webHidden/>
                <w:sz w:val="24"/>
                <w:szCs w:val="24"/>
              </w:rPr>
              <w:t>14</w:t>
            </w:r>
            <w:r w:rsidRPr="005E2CEF">
              <w:rPr>
                <w:noProof/>
                <w:webHidden/>
                <w:sz w:val="24"/>
                <w:szCs w:val="24"/>
              </w:rPr>
              <w:fldChar w:fldCharType="end"/>
            </w:r>
          </w:hyperlink>
        </w:p>
        <w:p w14:paraId="10126626" w14:textId="1AC3E7D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3" w:history="1">
            <w:r w:rsidRPr="005E2CEF">
              <w:rPr>
                <w:rStyle w:val="Hipercze"/>
                <w:noProof/>
                <w:sz w:val="24"/>
                <w:szCs w:val="24"/>
              </w:rPr>
              <w:t>2.5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Termin, forma i miejsce składania wniosku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_Toc200113163 \h </w:instrText>
            </w:r>
            <w:r w:rsidRPr="005E2CEF">
              <w:rPr>
                <w:noProof/>
                <w:webHidden/>
                <w:sz w:val="24"/>
                <w:szCs w:val="24"/>
              </w:rPr>
            </w:r>
            <w:r w:rsidRPr="005E2CEF">
              <w:rPr>
                <w:noProof/>
                <w:webHidden/>
                <w:sz w:val="24"/>
                <w:szCs w:val="24"/>
              </w:rPr>
              <w:fldChar w:fldCharType="separate"/>
            </w:r>
            <w:r w:rsidR="003C328C">
              <w:rPr>
                <w:noProof/>
                <w:webHidden/>
                <w:sz w:val="24"/>
                <w:szCs w:val="24"/>
              </w:rPr>
              <w:t>15</w:t>
            </w:r>
            <w:r w:rsidRPr="005E2CEF">
              <w:rPr>
                <w:noProof/>
                <w:webHidden/>
                <w:sz w:val="24"/>
                <w:szCs w:val="24"/>
              </w:rPr>
              <w:fldChar w:fldCharType="end"/>
            </w:r>
          </w:hyperlink>
        </w:p>
        <w:p w14:paraId="2CE574DB" w14:textId="166C3CAB"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64" w:history="1">
            <w:r w:rsidRPr="005E2CEF">
              <w:rPr>
                <w:rStyle w:val="Hipercze"/>
                <w:b/>
                <w:noProof/>
                <w:sz w:val="24"/>
                <w:szCs w:val="24"/>
              </w:rPr>
              <w:t>3</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WYMAGANIA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_Toc200113164 \h </w:instrText>
            </w:r>
            <w:r w:rsidRPr="005E2CEF">
              <w:rPr>
                <w:noProof/>
                <w:webHidden/>
                <w:sz w:val="24"/>
                <w:szCs w:val="24"/>
              </w:rPr>
            </w:r>
            <w:r w:rsidRPr="005E2CEF">
              <w:rPr>
                <w:noProof/>
                <w:webHidden/>
                <w:sz w:val="24"/>
                <w:szCs w:val="24"/>
              </w:rPr>
              <w:fldChar w:fldCharType="separate"/>
            </w:r>
            <w:r w:rsidR="003C328C">
              <w:rPr>
                <w:noProof/>
                <w:webHidden/>
                <w:sz w:val="24"/>
                <w:szCs w:val="24"/>
              </w:rPr>
              <w:t>17</w:t>
            </w:r>
            <w:r w:rsidRPr="005E2CEF">
              <w:rPr>
                <w:noProof/>
                <w:webHidden/>
                <w:sz w:val="24"/>
                <w:szCs w:val="24"/>
              </w:rPr>
              <w:fldChar w:fldCharType="end"/>
            </w:r>
          </w:hyperlink>
        </w:p>
        <w:p w14:paraId="79C0C01C" w14:textId="6F6F84D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5" w:history="1">
            <w:r w:rsidRPr="005E2CEF">
              <w:rPr>
                <w:rStyle w:val="Hipercze"/>
                <w:noProof/>
                <w:sz w:val="24"/>
                <w:szCs w:val="24"/>
              </w:rPr>
              <w:t>3.1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Podmioty uprawnione do ubiegania się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_Toc200113165 \h </w:instrText>
            </w:r>
            <w:r w:rsidRPr="005E2CEF">
              <w:rPr>
                <w:noProof/>
                <w:webHidden/>
                <w:sz w:val="24"/>
                <w:szCs w:val="24"/>
              </w:rPr>
            </w:r>
            <w:r w:rsidRPr="005E2CEF">
              <w:rPr>
                <w:noProof/>
                <w:webHidden/>
                <w:sz w:val="24"/>
                <w:szCs w:val="24"/>
              </w:rPr>
              <w:fldChar w:fldCharType="separate"/>
            </w:r>
            <w:r w:rsidR="003C328C">
              <w:rPr>
                <w:noProof/>
                <w:webHidden/>
                <w:sz w:val="24"/>
                <w:szCs w:val="24"/>
              </w:rPr>
              <w:t>17</w:t>
            </w:r>
            <w:r w:rsidRPr="005E2CEF">
              <w:rPr>
                <w:noProof/>
                <w:webHidden/>
                <w:sz w:val="24"/>
                <w:szCs w:val="24"/>
              </w:rPr>
              <w:fldChar w:fldCharType="end"/>
            </w:r>
          </w:hyperlink>
        </w:p>
        <w:p w14:paraId="7296E81B" w14:textId="7AE21D9B"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6" w:history="1">
            <w:r w:rsidRPr="005E2CEF">
              <w:rPr>
                <w:rStyle w:val="Hipercze"/>
                <w:noProof/>
                <w:sz w:val="24"/>
                <w:szCs w:val="24"/>
              </w:rPr>
              <w:t>3.2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Podmioty występujące wspólnie (partnerstwo)</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_Toc200113166 \h </w:instrText>
            </w:r>
            <w:r w:rsidRPr="005E2CEF">
              <w:rPr>
                <w:noProof/>
                <w:webHidden/>
                <w:sz w:val="24"/>
                <w:szCs w:val="24"/>
              </w:rPr>
            </w:r>
            <w:r w:rsidRPr="005E2CEF">
              <w:rPr>
                <w:noProof/>
                <w:webHidden/>
                <w:sz w:val="24"/>
                <w:szCs w:val="24"/>
              </w:rPr>
              <w:fldChar w:fldCharType="separate"/>
            </w:r>
            <w:r w:rsidR="003C328C">
              <w:rPr>
                <w:noProof/>
                <w:webHidden/>
                <w:sz w:val="24"/>
                <w:szCs w:val="24"/>
              </w:rPr>
              <w:t>18</w:t>
            </w:r>
            <w:r w:rsidRPr="005E2CEF">
              <w:rPr>
                <w:noProof/>
                <w:webHidden/>
                <w:sz w:val="24"/>
                <w:szCs w:val="24"/>
              </w:rPr>
              <w:fldChar w:fldCharType="end"/>
            </w:r>
          </w:hyperlink>
        </w:p>
        <w:p w14:paraId="2253506B" w14:textId="63D4C169"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7" w:history="1">
            <w:r w:rsidRPr="005E2CEF">
              <w:rPr>
                <w:rStyle w:val="Hipercze"/>
                <w:noProof/>
                <w:sz w:val="24"/>
                <w:szCs w:val="24"/>
              </w:rPr>
              <w:t>3.3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Typ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_Toc200113167 \h </w:instrText>
            </w:r>
            <w:r w:rsidRPr="005E2CEF">
              <w:rPr>
                <w:noProof/>
                <w:webHidden/>
                <w:sz w:val="24"/>
                <w:szCs w:val="24"/>
              </w:rPr>
            </w:r>
            <w:r w:rsidRPr="005E2CEF">
              <w:rPr>
                <w:noProof/>
                <w:webHidden/>
                <w:sz w:val="24"/>
                <w:szCs w:val="24"/>
              </w:rPr>
              <w:fldChar w:fldCharType="separate"/>
            </w:r>
            <w:r w:rsidR="003C328C">
              <w:rPr>
                <w:noProof/>
                <w:webHidden/>
                <w:sz w:val="24"/>
                <w:szCs w:val="24"/>
              </w:rPr>
              <w:t>20</w:t>
            </w:r>
            <w:r w:rsidRPr="005E2CEF">
              <w:rPr>
                <w:noProof/>
                <w:webHidden/>
                <w:sz w:val="24"/>
                <w:szCs w:val="24"/>
              </w:rPr>
              <w:fldChar w:fldCharType="end"/>
            </w:r>
          </w:hyperlink>
        </w:p>
        <w:p w14:paraId="7140CF0B" w14:textId="277A50DE"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8" w:history="1">
            <w:r w:rsidRPr="005E2CEF">
              <w:rPr>
                <w:rStyle w:val="Hipercze"/>
                <w:noProof/>
                <w:sz w:val="24"/>
                <w:szCs w:val="24"/>
              </w:rPr>
              <w:t>3.4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Grupy docelowe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_Toc200113168 \h </w:instrText>
            </w:r>
            <w:r w:rsidRPr="005E2CEF">
              <w:rPr>
                <w:noProof/>
                <w:webHidden/>
                <w:sz w:val="24"/>
                <w:szCs w:val="24"/>
              </w:rPr>
            </w:r>
            <w:r w:rsidRPr="005E2CEF">
              <w:rPr>
                <w:noProof/>
                <w:webHidden/>
                <w:sz w:val="24"/>
                <w:szCs w:val="24"/>
              </w:rPr>
              <w:fldChar w:fldCharType="separate"/>
            </w:r>
            <w:r w:rsidR="003C328C">
              <w:rPr>
                <w:noProof/>
                <w:webHidden/>
                <w:sz w:val="24"/>
                <w:szCs w:val="24"/>
              </w:rPr>
              <w:t>21</w:t>
            </w:r>
            <w:r w:rsidRPr="005E2CEF">
              <w:rPr>
                <w:noProof/>
                <w:webHidden/>
                <w:sz w:val="24"/>
                <w:szCs w:val="24"/>
              </w:rPr>
              <w:fldChar w:fldCharType="end"/>
            </w:r>
          </w:hyperlink>
        </w:p>
        <w:p w14:paraId="5E53BF59" w14:textId="4A0F40E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9" w:history="1">
            <w:r w:rsidRPr="005E2CEF">
              <w:rPr>
                <w:rStyle w:val="Hipercze"/>
                <w:noProof/>
                <w:spacing w:val="-2"/>
                <w:sz w:val="24"/>
                <w:szCs w:val="24"/>
              </w:rPr>
              <w:t>3.5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pacing w:val="-2"/>
                <w:sz w:val="24"/>
                <w:szCs w:val="24"/>
              </w:rPr>
              <w:t>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_Toc200113169 \h </w:instrText>
            </w:r>
            <w:r w:rsidRPr="005E2CEF">
              <w:rPr>
                <w:noProof/>
                <w:webHidden/>
                <w:sz w:val="24"/>
                <w:szCs w:val="24"/>
              </w:rPr>
            </w:r>
            <w:r w:rsidRPr="005E2CEF">
              <w:rPr>
                <w:noProof/>
                <w:webHidden/>
                <w:sz w:val="24"/>
                <w:szCs w:val="24"/>
              </w:rPr>
              <w:fldChar w:fldCharType="separate"/>
            </w:r>
            <w:r w:rsidR="003C328C">
              <w:rPr>
                <w:noProof/>
                <w:webHidden/>
                <w:sz w:val="24"/>
                <w:szCs w:val="24"/>
              </w:rPr>
              <w:t>23</w:t>
            </w:r>
            <w:r w:rsidRPr="005E2CEF">
              <w:rPr>
                <w:noProof/>
                <w:webHidden/>
                <w:sz w:val="24"/>
                <w:szCs w:val="24"/>
              </w:rPr>
              <w:fldChar w:fldCharType="end"/>
            </w:r>
          </w:hyperlink>
        </w:p>
        <w:p w14:paraId="4DE097F7" w14:textId="2B7A0B1F"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0" w:history="1">
            <w:r w:rsidRPr="005E2CEF">
              <w:rPr>
                <w:rStyle w:val="Hipercze"/>
                <w:noProof/>
                <w:sz w:val="24"/>
                <w:szCs w:val="24"/>
              </w:rPr>
              <w:t>3.5.1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Obowiązkowe 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_Toc200113170 \h </w:instrText>
            </w:r>
            <w:r w:rsidRPr="005E2CEF">
              <w:rPr>
                <w:noProof/>
                <w:webHidden/>
                <w:sz w:val="24"/>
                <w:szCs w:val="24"/>
              </w:rPr>
            </w:r>
            <w:r w:rsidRPr="005E2CEF">
              <w:rPr>
                <w:noProof/>
                <w:webHidden/>
                <w:sz w:val="24"/>
                <w:szCs w:val="24"/>
              </w:rPr>
              <w:fldChar w:fldCharType="separate"/>
            </w:r>
            <w:r w:rsidR="003C328C">
              <w:rPr>
                <w:noProof/>
                <w:webHidden/>
                <w:sz w:val="24"/>
                <w:szCs w:val="24"/>
              </w:rPr>
              <w:t>23</w:t>
            </w:r>
            <w:r w:rsidRPr="005E2CEF">
              <w:rPr>
                <w:noProof/>
                <w:webHidden/>
                <w:sz w:val="24"/>
                <w:szCs w:val="24"/>
              </w:rPr>
              <w:fldChar w:fldCharType="end"/>
            </w:r>
          </w:hyperlink>
        </w:p>
        <w:p w14:paraId="3C32C861" w14:textId="7868DD72"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1" w:history="1">
            <w:r w:rsidRPr="005E2CEF">
              <w:rPr>
                <w:rStyle w:val="Hipercze"/>
                <w:noProof/>
                <w:sz w:val="24"/>
                <w:szCs w:val="24"/>
              </w:rPr>
              <w:t>3.5.2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Dodatkowe 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_Toc200113171 \h </w:instrText>
            </w:r>
            <w:r w:rsidRPr="005E2CEF">
              <w:rPr>
                <w:noProof/>
                <w:webHidden/>
                <w:sz w:val="24"/>
                <w:szCs w:val="24"/>
              </w:rPr>
            </w:r>
            <w:r w:rsidRPr="005E2CEF">
              <w:rPr>
                <w:noProof/>
                <w:webHidden/>
                <w:sz w:val="24"/>
                <w:szCs w:val="24"/>
              </w:rPr>
              <w:fldChar w:fldCharType="separate"/>
            </w:r>
            <w:r w:rsidR="003C328C">
              <w:rPr>
                <w:noProof/>
                <w:webHidden/>
                <w:sz w:val="24"/>
                <w:szCs w:val="24"/>
              </w:rPr>
              <w:t>27</w:t>
            </w:r>
            <w:r w:rsidRPr="005E2CEF">
              <w:rPr>
                <w:noProof/>
                <w:webHidden/>
                <w:sz w:val="24"/>
                <w:szCs w:val="24"/>
              </w:rPr>
              <w:fldChar w:fldCharType="end"/>
            </w:r>
          </w:hyperlink>
        </w:p>
        <w:p w14:paraId="033E0F6D" w14:textId="43C8AF7E"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2" w:history="1">
            <w:r w:rsidRPr="005E2CEF">
              <w:rPr>
                <w:rStyle w:val="Hipercze"/>
                <w:noProof/>
                <w:sz w:val="24"/>
                <w:szCs w:val="24"/>
              </w:rPr>
              <w:t>3.6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Zgodność z zasadami horyzontalnymi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_Toc200113172 \h </w:instrText>
            </w:r>
            <w:r w:rsidRPr="005E2CEF">
              <w:rPr>
                <w:noProof/>
                <w:webHidden/>
                <w:sz w:val="24"/>
                <w:szCs w:val="24"/>
              </w:rPr>
            </w:r>
            <w:r w:rsidRPr="005E2CEF">
              <w:rPr>
                <w:noProof/>
                <w:webHidden/>
                <w:sz w:val="24"/>
                <w:szCs w:val="24"/>
              </w:rPr>
              <w:fldChar w:fldCharType="separate"/>
            </w:r>
            <w:r w:rsidR="003C328C">
              <w:rPr>
                <w:noProof/>
                <w:webHidden/>
                <w:sz w:val="24"/>
                <w:szCs w:val="24"/>
              </w:rPr>
              <w:t>28</w:t>
            </w:r>
            <w:r w:rsidRPr="005E2CEF">
              <w:rPr>
                <w:noProof/>
                <w:webHidden/>
                <w:sz w:val="24"/>
                <w:szCs w:val="24"/>
              </w:rPr>
              <w:fldChar w:fldCharType="end"/>
            </w:r>
          </w:hyperlink>
        </w:p>
        <w:p w14:paraId="7EE2886F" w14:textId="1CD5DE5C"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3" w:history="1">
            <w:r w:rsidRPr="005E2CEF">
              <w:rPr>
                <w:rStyle w:val="Hipercze"/>
                <w:noProof/>
                <w:sz w:val="24"/>
                <w:szCs w:val="24"/>
              </w:rPr>
              <w:t>3.7</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Wymagania czasowe dotyczące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_Toc200113173 \h </w:instrText>
            </w:r>
            <w:r w:rsidRPr="005E2CEF">
              <w:rPr>
                <w:noProof/>
                <w:webHidden/>
                <w:sz w:val="24"/>
                <w:szCs w:val="24"/>
              </w:rPr>
            </w:r>
            <w:r w:rsidRPr="005E2CEF">
              <w:rPr>
                <w:noProof/>
                <w:webHidden/>
                <w:sz w:val="24"/>
                <w:szCs w:val="24"/>
              </w:rPr>
              <w:fldChar w:fldCharType="separate"/>
            </w:r>
            <w:r w:rsidR="003C328C">
              <w:rPr>
                <w:noProof/>
                <w:webHidden/>
                <w:sz w:val="24"/>
                <w:szCs w:val="24"/>
              </w:rPr>
              <w:t>32</w:t>
            </w:r>
            <w:r w:rsidRPr="005E2CEF">
              <w:rPr>
                <w:noProof/>
                <w:webHidden/>
                <w:sz w:val="24"/>
                <w:szCs w:val="24"/>
              </w:rPr>
              <w:fldChar w:fldCharType="end"/>
            </w:r>
          </w:hyperlink>
        </w:p>
        <w:p w14:paraId="5399013D" w14:textId="0CF38423"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4" w:history="1">
            <w:r w:rsidRPr="005E2CEF">
              <w:rPr>
                <w:rStyle w:val="Hipercze"/>
                <w:noProof/>
                <w:sz w:val="24"/>
                <w:szCs w:val="24"/>
              </w:rPr>
              <w:t>3.8</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Efekty realizacji projektu – wskaźniki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_Toc200113174 \h </w:instrText>
            </w:r>
            <w:r w:rsidRPr="005E2CEF">
              <w:rPr>
                <w:noProof/>
                <w:webHidden/>
                <w:sz w:val="24"/>
                <w:szCs w:val="24"/>
              </w:rPr>
            </w:r>
            <w:r w:rsidRPr="005E2CEF">
              <w:rPr>
                <w:noProof/>
                <w:webHidden/>
                <w:sz w:val="24"/>
                <w:szCs w:val="24"/>
              </w:rPr>
              <w:fldChar w:fldCharType="separate"/>
            </w:r>
            <w:r w:rsidR="003C328C">
              <w:rPr>
                <w:noProof/>
                <w:webHidden/>
                <w:sz w:val="24"/>
                <w:szCs w:val="24"/>
              </w:rPr>
              <w:t>33</w:t>
            </w:r>
            <w:r w:rsidRPr="005E2CEF">
              <w:rPr>
                <w:noProof/>
                <w:webHidden/>
                <w:sz w:val="24"/>
                <w:szCs w:val="24"/>
              </w:rPr>
              <w:fldChar w:fldCharType="end"/>
            </w:r>
          </w:hyperlink>
        </w:p>
        <w:p w14:paraId="2FD155C1" w14:textId="08AD68AD"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75" w:history="1">
            <w:r w:rsidRPr="005E2CEF">
              <w:rPr>
                <w:rStyle w:val="Hipercze"/>
                <w:b/>
                <w:bCs/>
                <w:noProof/>
                <w:sz w:val="24"/>
                <w:szCs w:val="24"/>
              </w:rPr>
              <w:t>4</w:t>
            </w:r>
            <w:r w:rsidRPr="005E2CEF">
              <w:rPr>
                <w:rFonts w:asciiTheme="minorHAnsi" w:eastAsiaTheme="minorEastAsia" w:hAnsiTheme="minorHAnsi" w:cstheme="minorBidi"/>
                <w:noProof/>
                <w:kern w:val="2"/>
                <w:sz w:val="24"/>
                <w:szCs w:val="24"/>
                <w14:ligatures w14:val="standardContextual"/>
              </w:rPr>
              <w:tab/>
            </w:r>
            <w:r w:rsidRPr="005E2CEF">
              <w:rPr>
                <w:rStyle w:val="Hipercze"/>
                <w:b/>
                <w:bCs/>
                <w:noProof/>
                <w:sz w:val="24"/>
                <w:szCs w:val="24"/>
              </w:rPr>
              <w:t>ZASADY FINANSOWANIA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_Toc200113175 \h </w:instrText>
            </w:r>
            <w:r w:rsidRPr="005E2CEF">
              <w:rPr>
                <w:noProof/>
                <w:webHidden/>
                <w:sz w:val="24"/>
                <w:szCs w:val="24"/>
              </w:rPr>
            </w:r>
            <w:r w:rsidRPr="005E2CEF">
              <w:rPr>
                <w:noProof/>
                <w:webHidden/>
                <w:sz w:val="24"/>
                <w:szCs w:val="24"/>
              </w:rPr>
              <w:fldChar w:fldCharType="separate"/>
            </w:r>
            <w:r w:rsidR="003C328C">
              <w:rPr>
                <w:noProof/>
                <w:webHidden/>
                <w:sz w:val="24"/>
                <w:szCs w:val="24"/>
              </w:rPr>
              <w:t>47</w:t>
            </w:r>
            <w:r w:rsidRPr="005E2CEF">
              <w:rPr>
                <w:noProof/>
                <w:webHidden/>
                <w:sz w:val="24"/>
                <w:szCs w:val="24"/>
              </w:rPr>
              <w:fldChar w:fldCharType="end"/>
            </w:r>
          </w:hyperlink>
        </w:p>
        <w:p w14:paraId="0CD3A9BA" w14:textId="2368377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6" w:history="1">
            <w:r w:rsidRPr="005E2CEF">
              <w:rPr>
                <w:rStyle w:val="Hipercze"/>
                <w:noProof/>
                <w:sz w:val="24"/>
                <w:szCs w:val="24"/>
              </w:rPr>
              <w:t>4.1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Wkład własny</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_Toc200113176 \h </w:instrText>
            </w:r>
            <w:r w:rsidRPr="005E2CEF">
              <w:rPr>
                <w:noProof/>
                <w:webHidden/>
                <w:sz w:val="24"/>
                <w:szCs w:val="24"/>
              </w:rPr>
            </w:r>
            <w:r w:rsidRPr="005E2CEF">
              <w:rPr>
                <w:noProof/>
                <w:webHidden/>
                <w:sz w:val="24"/>
                <w:szCs w:val="24"/>
              </w:rPr>
              <w:fldChar w:fldCharType="separate"/>
            </w:r>
            <w:r w:rsidR="003C328C">
              <w:rPr>
                <w:noProof/>
                <w:webHidden/>
                <w:sz w:val="24"/>
                <w:szCs w:val="24"/>
              </w:rPr>
              <w:t>47</w:t>
            </w:r>
            <w:r w:rsidRPr="005E2CEF">
              <w:rPr>
                <w:noProof/>
                <w:webHidden/>
                <w:sz w:val="24"/>
                <w:szCs w:val="24"/>
              </w:rPr>
              <w:fldChar w:fldCharType="end"/>
            </w:r>
          </w:hyperlink>
        </w:p>
        <w:p w14:paraId="2F230B87" w14:textId="42569A0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7" w:history="1">
            <w:r w:rsidRPr="005E2CEF">
              <w:rPr>
                <w:rStyle w:val="Hipercze"/>
                <w:noProof/>
                <w:sz w:val="24"/>
                <w:szCs w:val="24"/>
              </w:rPr>
              <w:t>4.2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Pomoc publiczna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_Toc200113177 \h </w:instrText>
            </w:r>
            <w:r w:rsidRPr="005E2CEF">
              <w:rPr>
                <w:noProof/>
                <w:webHidden/>
                <w:sz w:val="24"/>
                <w:szCs w:val="24"/>
              </w:rPr>
            </w:r>
            <w:r w:rsidRPr="005E2CEF">
              <w:rPr>
                <w:noProof/>
                <w:webHidden/>
                <w:sz w:val="24"/>
                <w:szCs w:val="24"/>
              </w:rPr>
              <w:fldChar w:fldCharType="separate"/>
            </w:r>
            <w:r w:rsidR="003C328C">
              <w:rPr>
                <w:noProof/>
                <w:webHidden/>
                <w:sz w:val="24"/>
                <w:szCs w:val="24"/>
              </w:rPr>
              <w:t>49</w:t>
            </w:r>
            <w:r w:rsidRPr="005E2CEF">
              <w:rPr>
                <w:noProof/>
                <w:webHidden/>
                <w:sz w:val="24"/>
                <w:szCs w:val="24"/>
              </w:rPr>
              <w:fldChar w:fldCharType="end"/>
            </w:r>
          </w:hyperlink>
        </w:p>
        <w:p w14:paraId="6E7E1467" w14:textId="57735A4D"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8" w:history="1">
            <w:r w:rsidRPr="005E2CEF">
              <w:rPr>
                <w:rStyle w:val="Hipercze"/>
                <w:noProof/>
                <w:sz w:val="24"/>
                <w:szCs w:val="24"/>
              </w:rPr>
              <w:t>4.3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Budżet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_Toc200113178 \h </w:instrText>
            </w:r>
            <w:r w:rsidRPr="005E2CEF">
              <w:rPr>
                <w:noProof/>
                <w:webHidden/>
                <w:sz w:val="24"/>
                <w:szCs w:val="24"/>
              </w:rPr>
            </w:r>
            <w:r w:rsidRPr="005E2CEF">
              <w:rPr>
                <w:noProof/>
                <w:webHidden/>
                <w:sz w:val="24"/>
                <w:szCs w:val="24"/>
              </w:rPr>
              <w:fldChar w:fldCharType="separate"/>
            </w:r>
            <w:r w:rsidR="003C328C">
              <w:rPr>
                <w:noProof/>
                <w:webHidden/>
                <w:sz w:val="24"/>
                <w:szCs w:val="24"/>
              </w:rPr>
              <w:t>49</w:t>
            </w:r>
            <w:r w:rsidRPr="005E2CEF">
              <w:rPr>
                <w:noProof/>
                <w:webHidden/>
                <w:sz w:val="24"/>
                <w:szCs w:val="24"/>
              </w:rPr>
              <w:fldChar w:fldCharType="end"/>
            </w:r>
          </w:hyperlink>
        </w:p>
        <w:p w14:paraId="75E1B5DD" w14:textId="0A2DE4B4"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9" w:history="1">
            <w:r w:rsidRPr="005E2CEF">
              <w:rPr>
                <w:rStyle w:val="Hipercze"/>
                <w:noProof/>
                <w:sz w:val="24"/>
                <w:szCs w:val="24"/>
              </w:rPr>
              <w:t>4.3.1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Koszty bezpośrednie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_Toc200113179 \h </w:instrText>
            </w:r>
            <w:r w:rsidRPr="005E2CEF">
              <w:rPr>
                <w:noProof/>
                <w:webHidden/>
                <w:sz w:val="24"/>
                <w:szCs w:val="24"/>
              </w:rPr>
            </w:r>
            <w:r w:rsidRPr="005E2CEF">
              <w:rPr>
                <w:noProof/>
                <w:webHidden/>
                <w:sz w:val="24"/>
                <w:szCs w:val="24"/>
              </w:rPr>
              <w:fldChar w:fldCharType="separate"/>
            </w:r>
            <w:r w:rsidR="003C328C">
              <w:rPr>
                <w:noProof/>
                <w:webHidden/>
                <w:sz w:val="24"/>
                <w:szCs w:val="24"/>
              </w:rPr>
              <w:t>50</w:t>
            </w:r>
            <w:r w:rsidRPr="005E2CEF">
              <w:rPr>
                <w:noProof/>
                <w:webHidden/>
                <w:sz w:val="24"/>
                <w:szCs w:val="24"/>
              </w:rPr>
              <w:fldChar w:fldCharType="end"/>
            </w:r>
          </w:hyperlink>
        </w:p>
        <w:p w14:paraId="6F0AE8A0" w14:textId="598C7E86"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80" w:history="1">
            <w:r w:rsidRPr="005E2CEF">
              <w:rPr>
                <w:rStyle w:val="Hipercze"/>
                <w:noProof/>
                <w:sz w:val="24"/>
                <w:szCs w:val="24"/>
              </w:rPr>
              <w:t>4.3.2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Koszty pośrednie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_Toc200113180 \h </w:instrText>
            </w:r>
            <w:r w:rsidRPr="005E2CEF">
              <w:rPr>
                <w:noProof/>
                <w:webHidden/>
                <w:sz w:val="24"/>
                <w:szCs w:val="24"/>
              </w:rPr>
            </w:r>
            <w:r w:rsidRPr="005E2CEF">
              <w:rPr>
                <w:noProof/>
                <w:webHidden/>
                <w:sz w:val="24"/>
                <w:szCs w:val="24"/>
              </w:rPr>
              <w:fldChar w:fldCharType="separate"/>
            </w:r>
            <w:r w:rsidR="003C328C">
              <w:rPr>
                <w:noProof/>
                <w:webHidden/>
                <w:sz w:val="24"/>
                <w:szCs w:val="24"/>
              </w:rPr>
              <w:t>50</w:t>
            </w:r>
            <w:r w:rsidRPr="005E2CEF">
              <w:rPr>
                <w:noProof/>
                <w:webHidden/>
                <w:sz w:val="24"/>
                <w:szCs w:val="24"/>
              </w:rPr>
              <w:fldChar w:fldCharType="end"/>
            </w:r>
          </w:hyperlink>
        </w:p>
        <w:p w14:paraId="108B4062" w14:textId="6507D53E"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1" w:history="1">
            <w:r w:rsidRPr="005E2CEF">
              <w:rPr>
                <w:rStyle w:val="Hipercze"/>
                <w:noProof/>
                <w:sz w:val="24"/>
                <w:szCs w:val="24"/>
              </w:rPr>
              <w:t>4.4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Kwalifikowalność wydatków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_Toc200113181 \h </w:instrText>
            </w:r>
            <w:r w:rsidRPr="005E2CEF">
              <w:rPr>
                <w:noProof/>
                <w:webHidden/>
                <w:sz w:val="24"/>
                <w:szCs w:val="24"/>
              </w:rPr>
            </w:r>
            <w:r w:rsidRPr="005E2CEF">
              <w:rPr>
                <w:noProof/>
                <w:webHidden/>
                <w:sz w:val="24"/>
                <w:szCs w:val="24"/>
              </w:rPr>
              <w:fldChar w:fldCharType="separate"/>
            </w:r>
            <w:r w:rsidR="003C328C">
              <w:rPr>
                <w:noProof/>
                <w:webHidden/>
                <w:sz w:val="24"/>
                <w:szCs w:val="24"/>
              </w:rPr>
              <w:t>52</w:t>
            </w:r>
            <w:r w:rsidRPr="005E2CEF">
              <w:rPr>
                <w:noProof/>
                <w:webHidden/>
                <w:sz w:val="24"/>
                <w:szCs w:val="24"/>
              </w:rPr>
              <w:fldChar w:fldCharType="end"/>
            </w:r>
          </w:hyperlink>
        </w:p>
        <w:p w14:paraId="4931A5A0" w14:textId="46296150"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2" w:history="1">
            <w:r w:rsidRPr="005E2CEF">
              <w:rPr>
                <w:rStyle w:val="Hipercze"/>
                <w:noProof/>
                <w:sz w:val="24"/>
                <w:szCs w:val="24"/>
              </w:rPr>
              <w:t>4.5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Zasady udzielania zamówień w ramach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_Toc200113182 \h </w:instrText>
            </w:r>
            <w:r w:rsidRPr="005E2CEF">
              <w:rPr>
                <w:noProof/>
                <w:webHidden/>
                <w:sz w:val="24"/>
                <w:szCs w:val="24"/>
              </w:rPr>
            </w:r>
            <w:r w:rsidRPr="005E2CEF">
              <w:rPr>
                <w:noProof/>
                <w:webHidden/>
                <w:sz w:val="24"/>
                <w:szCs w:val="24"/>
              </w:rPr>
              <w:fldChar w:fldCharType="separate"/>
            </w:r>
            <w:r w:rsidR="003C328C">
              <w:rPr>
                <w:noProof/>
                <w:webHidden/>
                <w:sz w:val="24"/>
                <w:szCs w:val="24"/>
              </w:rPr>
              <w:t>55</w:t>
            </w:r>
            <w:r w:rsidRPr="005E2CEF">
              <w:rPr>
                <w:noProof/>
                <w:webHidden/>
                <w:sz w:val="24"/>
                <w:szCs w:val="24"/>
              </w:rPr>
              <w:fldChar w:fldCharType="end"/>
            </w:r>
          </w:hyperlink>
        </w:p>
        <w:p w14:paraId="10ABC38B" w14:textId="26104B3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3" w:history="1">
            <w:r w:rsidRPr="005E2CEF">
              <w:rPr>
                <w:rStyle w:val="Hipercze"/>
                <w:noProof/>
                <w:sz w:val="24"/>
                <w:szCs w:val="24"/>
              </w:rPr>
              <w:t>4.6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Cross-financing</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_Toc200113183 \h </w:instrText>
            </w:r>
            <w:r w:rsidRPr="005E2CEF">
              <w:rPr>
                <w:noProof/>
                <w:webHidden/>
                <w:sz w:val="24"/>
                <w:szCs w:val="24"/>
              </w:rPr>
            </w:r>
            <w:r w:rsidRPr="005E2CEF">
              <w:rPr>
                <w:noProof/>
                <w:webHidden/>
                <w:sz w:val="24"/>
                <w:szCs w:val="24"/>
              </w:rPr>
              <w:fldChar w:fldCharType="separate"/>
            </w:r>
            <w:r w:rsidR="003C328C">
              <w:rPr>
                <w:noProof/>
                <w:webHidden/>
                <w:sz w:val="24"/>
                <w:szCs w:val="24"/>
              </w:rPr>
              <w:t>57</w:t>
            </w:r>
            <w:r w:rsidRPr="005E2CEF">
              <w:rPr>
                <w:noProof/>
                <w:webHidden/>
                <w:sz w:val="24"/>
                <w:szCs w:val="24"/>
              </w:rPr>
              <w:fldChar w:fldCharType="end"/>
            </w:r>
          </w:hyperlink>
        </w:p>
        <w:p w14:paraId="28796BDC" w14:textId="69FDA8F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4" w:history="1">
            <w:r w:rsidRPr="005E2CEF">
              <w:rPr>
                <w:rStyle w:val="Hipercze"/>
                <w:noProof/>
                <w:sz w:val="24"/>
                <w:szCs w:val="24"/>
              </w:rPr>
              <w:t>4.7</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Trwałość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_Toc200113184 \h </w:instrText>
            </w:r>
            <w:r w:rsidRPr="005E2CEF">
              <w:rPr>
                <w:noProof/>
                <w:webHidden/>
                <w:sz w:val="24"/>
                <w:szCs w:val="24"/>
              </w:rPr>
            </w:r>
            <w:r w:rsidRPr="005E2CEF">
              <w:rPr>
                <w:noProof/>
                <w:webHidden/>
                <w:sz w:val="24"/>
                <w:szCs w:val="24"/>
              </w:rPr>
              <w:fldChar w:fldCharType="separate"/>
            </w:r>
            <w:r w:rsidR="003C328C">
              <w:rPr>
                <w:noProof/>
                <w:webHidden/>
                <w:sz w:val="24"/>
                <w:szCs w:val="24"/>
              </w:rPr>
              <w:t>58</w:t>
            </w:r>
            <w:r w:rsidRPr="005E2CEF">
              <w:rPr>
                <w:noProof/>
                <w:webHidden/>
                <w:sz w:val="24"/>
                <w:szCs w:val="24"/>
              </w:rPr>
              <w:fldChar w:fldCharType="end"/>
            </w:r>
          </w:hyperlink>
        </w:p>
        <w:p w14:paraId="552BB1E2" w14:textId="2A3005A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5" w:history="1">
            <w:r w:rsidRPr="005E2CEF">
              <w:rPr>
                <w:rStyle w:val="Hipercze"/>
                <w:noProof/>
                <w:sz w:val="24"/>
                <w:szCs w:val="24"/>
              </w:rPr>
              <w:t>4.8</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Podatek VAT</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_Toc200113185 \h </w:instrText>
            </w:r>
            <w:r w:rsidRPr="005E2CEF">
              <w:rPr>
                <w:noProof/>
                <w:webHidden/>
                <w:sz w:val="24"/>
                <w:szCs w:val="24"/>
              </w:rPr>
            </w:r>
            <w:r w:rsidRPr="005E2CEF">
              <w:rPr>
                <w:noProof/>
                <w:webHidden/>
                <w:sz w:val="24"/>
                <w:szCs w:val="24"/>
              </w:rPr>
              <w:fldChar w:fldCharType="separate"/>
            </w:r>
            <w:r w:rsidR="003C328C">
              <w:rPr>
                <w:noProof/>
                <w:webHidden/>
                <w:sz w:val="24"/>
                <w:szCs w:val="24"/>
              </w:rPr>
              <w:t>59</w:t>
            </w:r>
            <w:r w:rsidRPr="005E2CEF">
              <w:rPr>
                <w:noProof/>
                <w:webHidden/>
                <w:sz w:val="24"/>
                <w:szCs w:val="24"/>
              </w:rPr>
              <w:fldChar w:fldCharType="end"/>
            </w:r>
          </w:hyperlink>
        </w:p>
        <w:p w14:paraId="08541893" w14:textId="400C8997"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6" w:history="1">
            <w:r w:rsidRPr="005E2CEF">
              <w:rPr>
                <w:rStyle w:val="Hipercze"/>
                <w:noProof/>
                <w:sz w:val="24"/>
                <w:szCs w:val="24"/>
              </w:rPr>
              <w:t>4.9</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Uproszczone metody rozliczania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_Toc200113186 \h </w:instrText>
            </w:r>
            <w:r w:rsidRPr="005E2CEF">
              <w:rPr>
                <w:noProof/>
                <w:webHidden/>
                <w:sz w:val="24"/>
                <w:szCs w:val="24"/>
              </w:rPr>
            </w:r>
            <w:r w:rsidRPr="005E2CEF">
              <w:rPr>
                <w:noProof/>
                <w:webHidden/>
                <w:sz w:val="24"/>
                <w:szCs w:val="24"/>
              </w:rPr>
              <w:fldChar w:fldCharType="separate"/>
            </w:r>
            <w:r w:rsidR="003C328C">
              <w:rPr>
                <w:noProof/>
                <w:webHidden/>
                <w:sz w:val="24"/>
                <w:szCs w:val="24"/>
              </w:rPr>
              <w:t>59</w:t>
            </w:r>
            <w:r w:rsidRPr="005E2CEF">
              <w:rPr>
                <w:noProof/>
                <w:webHidden/>
                <w:sz w:val="24"/>
                <w:szCs w:val="24"/>
              </w:rPr>
              <w:fldChar w:fldCharType="end"/>
            </w:r>
          </w:hyperlink>
        </w:p>
        <w:p w14:paraId="1D3F8157" w14:textId="7A9F7E4D"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87" w:history="1">
            <w:r w:rsidRPr="005E2CEF">
              <w:rPr>
                <w:rStyle w:val="Hipercze"/>
                <w:b/>
                <w:noProof/>
                <w:sz w:val="24"/>
                <w:szCs w:val="24"/>
              </w:rPr>
              <w:t>5</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DZIAŁANIA INFORMACYJNE i PROMOCYJNE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_Toc200113187 \h </w:instrText>
            </w:r>
            <w:r w:rsidRPr="005E2CEF">
              <w:rPr>
                <w:noProof/>
                <w:webHidden/>
                <w:sz w:val="24"/>
                <w:szCs w:val="24"/>
              </w:rPr>
            </w:r>
            <w:r w:rsidRPr="005E2CEF">
              <w:rPr>
                <w:noProof/>
                <w:webHidden/>
                <w:sz w:val="24"/>
                <w:szCs w:val="24"/>
              </w:rPr>
              <w:fldChar w:fldCharType="separate"/>
            </w:r>
            <w:r w:rsidR="003C328C">
              <w:rPr>
                <w:noProof/>
                <w:webHidden/>
                <w:sz w:val="24"/>
                <w:szCs w:val="24"/>
              </w:rPr>
              <w:t>61</w:t>
            </w:r>
            <w:r w:rsidRPr="005E2CEF">
              <w:rPr>
                <w:noProof/>
                <w:webHidden/>
                <w:sz w:val="24"/>
                <w:szCs w:val="24"/>
              </w:rPr>
              <w:fldChar w:fldCharType="end"/>
            </w:r>
          </w:hyperlink>
        </w:p>
        <w:p w14:paraId="2851BA74" w14:textId="21045CBC"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88" w:history="1">
            <w:r w:rsidRPr="005E2CEF">
              <w:rPr>
                <w:rStyle w:val="Hipercze"/>
                <w:b/>
                <w:noProof/>
                <w:sz w:val="24"/>
                <w:szCs w:val="24"/>
              </w:rPr>
              <w:t>6</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WYBÓR PROJEKTÓW DO DOFINANSOWANIA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_Toc200113188 \h </w:instrText>
            </w:r>
            <w:r w:rsidRPr="005E2CEF">
              <w:rPr>
                <w:noProof/>
                <w:webHidden/>
                <w:sz w:val="24"/>
                <w:szCs w:val="24"/>
              </w:rPr>
            </w:r>
            <w:r w:rsidRPr="005E2CEF">
              <w:rPr>
                <w:noProof/>
                <w:webHidden/>
                <w:sz w:val="24"/>
                <w:szCs w:val="24"/>
              </w:rPr>
              <w:fldChar w:fldCharType="separate"/>
            </w:r>
            <w:r w:rsidR="003C328C">
              <w:rPr>
                <w:noProof/>
                <w:webHidden/>
                <w:sz w:val="24"/>
                <w:szCs w:val="24"/>
              </w:rPr>
              <w:t>62</w:t>
            </w:r>
            <w:r w:rsidRPr="005E2CEF">
              <w:rPr>
                <w:noProof/>
                <w:webHidden/>
                <w:sz w:val="24"/>
                <w:szCs w:val="24"/>
              </w:rPr>
              <w:fldChar w:fldCharType="end"/>
            </w:r>
          </w:hyperlink>
        </w:p>
        <w:p w14:paraId="626AB16E" w14:textId="54A083A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9" w:history="1">
            <w:r w:rsidRPr="005E2CEF">
              <w:rPr>
                <w:rStyle w:val="Hipercze"/>
                <w:noProof/>
                <w:sz w:val="24"/>
                <w:szCs w:val="24"/>
              </w:rPr>
              <w:t>6.1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Sposób wyboru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_Toc200113189 \h </w:instrText>
            </w:r>
            <w:r w:rsidRPr="005E2CEF">
              <w:rPr>
                <w:noProof/>
                <w:webHidden/>
                <w:sz w:val="24"/>
                <w:szCs w:val="24"/>
              </w:rPr>
            </w:r>
            <w:r w:rsidRPr="005E2CEF">
              <w:rPr>
                <w:noProof/>
                <w:webHidden/>
                <w:sz w:val="24"/>
                <w:szCs w:val="24"/>
              </w:rPr>
              <w:fldChar w:fldCharType="separate"/>
            </w:r>
            <w:r w:rsidR="003C328C">
              <w:rPr>
                <w:noProof/>
                <w:webHidden/>
                <w:sz w:val="24"/>
                <w:szCs w:val="24"/>
              </w:rPr>
              <w:t>62</w:t>
            </w:r>
            <w:r w:rsidRPr="005E2CEF">
              <w:rPr>
                <w:noProof/>
                <w:webHidden/>
                <w:sz w:val="24"/>
                <w:szCs w:val="24"/>
              </w:rPr>
              <w:fldChar w:fldCharType="end"/>
            </w:r>
          </w:hyperlink>
        </w:p>
        <w:p w14:paraId="3225B921" w14:textId="3719DD9A"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0" w:history="1">
            <w:r w:rsidRPr="005E2CEF">
              <w:rPr>
                <w:rStyle w:val="Hipercze"/>
                <w:noProof/>
                <w:sz w:val="24"/>
                <w:szCs w:val="24"/>
              </w:rPr>
              <w:t>6.2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Opis procedury wyboru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_Toc200113190 \h </w:instrText>
            </w:r>
            <w:r w:rsidRPr="005E2CEF">
              <w:rPr>
                <w:noProof/>
                <w:webHidden/>
                <w:sz w:val="24"/>
                <w:szCs w:val="24"/>
              </w:rPr>
            </w:r>
            <w:r w:rsidRPr="005E2CEF">
              <w:rPr>
                <w:noProof/>
                <w:webHidden/>
                <w:sz w:val="24"/>
                <w:szCs w:val="24"/>
              </w:rPr>
              <w:fldChar w:fldCharType="separate"/>
            </w:r>
            <w:r w:rsidR="003C328C">
              <w:rPr>
                <w:noProof/>
                <w:webHidden/>
                <w:sz w:val="24"/>
                <w:szCs w:val="24"/>
              </w:rPr>
              <w:t>62</w:t>
            </w:r>
            <w:r w:rsidRPr="005E2CEF">
              <w:rPr>
                <w:noProof/>
                <w:webHidden/>
                <w:sz w:val="24"/>
                <w:szCs w:val="24"/>
              </w:rPr>
              <w:fldChar w:fldCharType="end"/>
            </w:r>
          </w:hyperlink>
        </w:p>
        <w:p w14:paraId="6C3BFD9A" w14:textId="0A61F442"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1" w:history="1">
            <w:r w:rsidRPr="005E2CEF">
              <w:rPr>
                <w:rStyle w:val="Hipercze"/>
                <w:rFonts w:eastAsiaTheme="minorHAnsi"/>
                <w:noProof/>
                <w:sz w:val="24"/>
                <w:szCs w:val="24"/>
                <w:lang w:eastAsia="en-US"/>
              </w:rPr>
              <w:t>6.2.1</w:t>
            </w:r>
            <w:r w:rsidRPr="005E2CEF">
              <w:rPr>
                <w:rFonts w:asciiTheme="minorHAnsi" w:eastAsiaTheme="minorEastAsia" w:hAnsiTheme="minorHAnsi" w:cstheme="minorBidi"/>
                <w:noProof/>
                <w:kern w:val="2"/>
                <w:sz w:val="24"/>
                <w:szCs w:val="24"/>
                <w14:ligatures w14:val="standardContextual"/>
              </w:rPr>
              <w:tab/>
            </w:r>
            <w:r w:rsidRPr="005E2CEF">
              <w:rPr>
                <w:rStyle w:val="Hipercze"/>
                <w:rFonts w:eastAsiaTheme="minorHAnsi"/>
                <w:noProof/>
                <w:sz w:val="24"/>
                <w:szCs w:val="24"/>
                <w:lang w:eastAsia="en-US"/>
              </w:rPr>
              <w:t>Etap oceny formalnej</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_Toc200113191 \h </w:instrText>
            </w:r>
            <w:r w:rsidRPr="005E2CEF">
              <w:rPr>
                <w:noProof/>
                <w:webHidden/>
                <w:sz w:val="24"/>
                <w:szCs w:val="24"/>
              </w:rPr>
            </w:r>
            <w:r w:rsidRPr="005E2CEF">
              <w:rPr>
                <w:noProof/>
                <w:webHidden/>
                <w:sz w:val="24"/>
                <w:szCs w:val="24"/>
              </w:rPr>
              <w:fldChar w:fldCharType="separate"/>
            </w:r>
            <w:r w:rsidR="003C328C">
              <w:rPr>
                <w:noProof/>
                <w:webHidden/>
                <w:sz w:val="24"/>
                <w:szCs w:val="24"/>
              </w:rPr>
              <w:t>63</w:t>
            </w:r>
            <w:r w:rsidRPr="005E2CEF">
              <w:rPr>
                <w:noProof/>
                <w:webHidden/>
                <w:sz w:val="24"/>
                <w:szCs w:val="24"/>
              </w:rPr>
              <w:fldChar w:fldCharType="end"/>
            </w:r>
          </w:hyperlink>
        </w:p>
        <w:p w14:paraId="547CFC3F" w14:textId="4E8ABCAD"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2" w:history="1">
            <w:r w:rsidRPr="005E2CEF">
              <w:rPr>
                <w:rStyle w:val="Hipercze"/>
                <w:noProof/>
                <w:sz w:val="24"/>
                <w:szCs w:val="24"/>
                <w:lang w:eastAsia="en-US"/>
              </w:rPr>
              <w:t>6.2.2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lang w:eastAsia="en-US"/>
              </w:rPr>
              <w:t>Etap oceny merytorycznej</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_Toc200113192 \h </w:instrText>
            </w:r>
            <w:r w:rsidRPr="005E2CEF">
              <w:rPr>
                <w:noProof/>
                <w:webHidden/>
                <w:sz w:val="24"/>
                <w:szCs w:val="24"/>
              </w:rPr>
            </w:r>
            <w:r w:rsidRPr="005E2CEF">
              <w:rPr>
                <w:noProof/>
                <w:webHidden/>
                <w:sz w:val="24"/>
                <w:szCs w:val="24"/>
              </w:rPr>
              <w:fldChar w:fldCharType="separate"/>
            </w:r>
            <w:r w:rsidR="003C328C">
              <w:rPr>
                <w:noProof/>
                <w:webHidden/>
                <w:sz w:val="24"/>
                <w:szCs w:val="24"/>
              </w:rPr>
              <w:t>63</w:t>
            </w:r>
            <w:r w:rsidRPr="005E2CEF">
              <w:rPr>
                <w:noProof/>
                <w:webHidden/>
                <w:sz w:val="24"/>
                <w:szCs w:val="24"/>
              </w:rPr>
              <w:fldChar w:fldCharType="end"/>
            </w:r>
          </w:hyperlink>
        </w:p>
        <w:p w14:paraId="59E5EE1A" w14:textId="18181C0E"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3" w:history="1">
            <w:r w:rsidRPr="005E2CEF">
              <w:rPr>
                <w:rStyle w:val="Hipercze"/>
                <w:noProof/>
                <w:sz w:val="24"/>
                <w:szCs w:val="24"/>
                <w:lang w:eastAsia="en-US"/>
              </w:rPr>
              <w:t>6.2.3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lang w:eastAsia="en-US"/>
              </w:rPr>
              <w:t>Etap negocjacji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_Toc200113193 \h </w:instrText>
            </w:r>
            <w:r w:rsidRPr="005E2CEF">
              <w:rPr>
                <w:noProof/>
                <w:webHidden/>
                <w:sz w:val="24"/>
                <w:szCs w:val="24"/>
              </w:rPr>
            </w:r>
            <w:r w:rsidRPr="005E2CEF">
              <w:rPr>
                <w:noProof/>
                <w:webHidden/>
                <w:sz w:val="24"/>
                <w:szCs w:val="24"/>
              </w:rPr>
              <w:fldChar w:fldCharType="separate"/>
            </w:r>
            <w:r w:rsidR="003C328C">
              <w:rPr>
                <w:noProof/>
                <w:webHidden/>
                <w:sz w:val="24"/>
                <w:szCs w:val="24"/>
              </w:rPr>
              <w:t>67</w:t>
            </w:r>
            <w:r w:rsidRPr="005E2CEF">
              <w:rPr>
                <w:noProof/>
                <w:webHidden/>
                <w:sz w:val="24"/>
                <w:szCs w:val="24"/>
              </w:rPr>
              <w:fldChar w:fldCharType="end"/>
            </w:r>
          </w:hyperlink>
        </w:p>
        <w:p w14:paraId="64EC46E4" w14:textId="41DC8A83"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4" w:history="1">
            <w:r w:rsidRPr="005E2CEF">
              <w:rPr>
                <w:rStyle w:val="Hipercze"/>
                <w:noProof/>
                <w:sz w:val="24"/>
                <w:szCs w:val="24"/>
              </w:rPr>
              <w:t>6.3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Rozstrzygnięcie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_Toc200113194 \h </w:instrText>
            </w:r>
            <w:r w:rsidRPr="005E2CEF">
              <w:rPr>
                <w:noProof/>
                <w:webHidden/>
                <w:sz w:val="24"/>
                <w:szCs w:val="24"/>
              </w:rPr>
            </w:r>
            <w:r w:rsidRPr="005E2CEF">
              <w:rPr>
                <w:noProof/>
                <w:webHidden/>
                <w:sz w:val="24"/>
                <w:szCs w:val="24"/>
              </w:rPr>
              <w:fldChar w:fldCharType="separate"/>
            </w:r>
            <w:r w:rsidR="003C328C">
              <w:rPr>
                <w:noProof/>
                <w:webHidden/>
                <w:sz w:val="24"/>
                <w:szCs w:val="24"/>
              </w:rPr>
              <w:t>69</w:t>
            </w:r>
            <w:r w:rsidRPr="005E2CEF">
              <w:rPr>
                <w:noProof/>
                <w:webHidden/>
                <w:sz w:val="24"/>
                <w:szCs w:val="24"/>
              </w:rPr>
              <w:fldChar w:fldCharType="end"/>
            </w:r>
          </w:hyperlink>
        </w:p>
        <w:p w14:paraId="576884CC" w14:textId="478F471D"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5" w:history="1">
            <w:r w:rsidRPr="005E2CEF">
              <w:rPr>
                <w:rStyle w:val="Hipercze"/>
                <w:noProof/>
                <w:sz w:val="24"/>
                <w:szCs w:val="24"/>
              </w:rPr>
              <w:t>6.4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Procedura odwoławcza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_Toc200113195 \h </w:instrText>
            </w:r>
            <w:r w:rsidRPr="005E2CEF">
              <w:rPr>
                <w:noProof/>
                <w:webHidden/>
                <w:sz w:val="24"/>
                <w:szCs w:val="24"/>
              </w:rPr>
            </w:r>
            <w:r w:rsidRPr="005E2CEF">
              <w:rPr>
                <w:noProof/>
                <w:webHidden/>
                <w:sz w:val="24"/>
                <w:szCs w:val="24"/>
              </w:rPr>
              <w:fldChar w:fldCharType="separate"/>
            </w:r>
            <w:r w:rsidR="003C328C">
              <w:rPr>
                <w:noProof/>
                <w:webHidden/>
                <w:sz w:val="24"/>
                <w:szCs w:val="24"/>
              </w:rPr>
              <w:t>69</w:t>
            </w:r>
            <w:r w:rsidRPr="005E2CEF">
              <w:rPr>
                <w:noProof/>
                <w:webHidden/>
                <w:sz w:val="24"/>
                <w:szCs w:val="24"/>
              </w:rPr>
              <w:fldChar w:fldCharType="end"/>
            </w:r>
          </w:hyperlink>
        </w:p>
        <w:p w14:paraId="5FBB7C7F" w14:textId="6E3FD714"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6" w:history="1">
            <w:r w:rsidRPr="005E2CEF">
              <w:rPr>
                <w:rStyle w:val="Hipercze"/>
                <w:noProof/>
                <w:sz w:val="24"/>
                <w:szCs w:val="24"/>
              </w:rPr>
              <w:t>6.5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Umowa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_Toc200113196 \h </w:instrText>
            </w:r>
            <w:r w:rsidRPr="005E2CEF">
              <w:rPr>
                <w:noProof/>
                <w:webHidden/>
                <w:sz w:val="24"/>
                <w:szCs w:val="24"/>
              </w:rPr>
            </w:r>
            <w:r w:rsidRPr="005E2CEF">
              <w:rPr>
                <w:noProof/>
                <w:webHidden/>
                <w:sz w:val="24"/>
                <w:szCs w:val="24"/>
              </w:rPr>
              <w:fldChar w:fldCharType="separate"/>
            </w:r>
            <w:r w:rsidR="003C328C">
              <w:rPr>
                <w:noProof/>
                <w:webHidden/>
                <w:sz w:val="24"/>
                <w:szCs w:val="24"/>
              </w:rPr>
              <w:t>73</w:t>
            </w:r>
            <w:r w:rsidRPr="005E2CEF">
              <w:rPr>
                <w:noProof/>
                <w:webHidden/>
                <w:sz w:val="24"/>
                <w:szCs w:val="24"/>
              </w:rPr>
              <w:fldChar w:fldCharType="end"/>
            </w:r>
          </w:hyperlink>
        </w:p>
        <w:p w14:paraId="36A3EDAD" w14:textId="686FD8B0"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7" w:history="1">
            <w:r w:rsidRPr="005E2CEF">
              <w:rPr>
                <w:rStyle w:val="Hipercze"/>
                <w:noProof/>
                <w:sz w:val="24"/>
                <w:szCs w:val="24"/>
              </w:rPr>
              <w:t>6.6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Zabezpieczenie prawidłowej realizacji umowy</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_Toc200113197 \h </w:instrText>
            </w:r>
            <w:r w:rsidRPr="005E2CEF">
              <w:rPr>
                <w:noProof/>
                <w:webHidden/>
                <w:sz w:val="24"/>
                <w:szCs w:val="24"/>
              </w:rPr>
            </w:r>
            <w:r w:rsidRPr="005E2CEF">
              <w:rPr>
                <w:noProof/>
                <w:webHidden/>
                <w:sz w:val="24"/>
                <w:szCs w:val="24"/>
              </w:rPr>
              <w:fldChar w:fldCharType="separate"/>
            </w:r>
            <w:r w:rsidR="003C328C">
              <w:rPr>
                <w:noProof/>
                <w:webHidden/>
                <w:sz w:val="24"/>
                <w:szCs w:val="24"/>
              </w:rPr>
              <w:t>76</w:t>
            </w:r>
            <w:r w:rsidRPr="005E2CEF">
              <w:rPr>
                <w:noProof/>
                <w:webHidden/>
                <w:sz w:val="24"/>
                <w:szCs w:val="24"/>
              </w:rPr>
              <w:fldChar w:fldCharType="end"/>
            </w:r>
          </w:hyperlink>
        </w:p>
        <w:p w14:paraId="49E1E202" w14:textId="06738219"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98" w:history="1">
            <w:r w:rsidRPr="005E2CEF">
              <w:rPr>
                <w:rStyle w:val="Hipercze"/>
                <w:b/>
                <w:bCs/>
                <w:noProof/>
                <w:sz w:val="24"/>
                <w:szCs w:val="24"/>
              </w:rPr>
              <w:t>7</w:t>
            </w:r>
            <w:r w:rsidRPr="005E2CEF">
              <w:rPr>
                <w:rFonts w:asciiTheme="minorHAnsi" w:eastAsiaTheme="minorEastAsia" w:hAnsiTheme="minorHAnsi" w:cstheme="minorBidi"/>
                <w:noProof/>
                <w:kern w:val="2"/>
                <w:sz w:val="24"/>
                <w:szCs w:val="24"/>
                <w14:ligatures w14:val="standardContextual"/>
              </w:rPr>
              <w:tab/>
            </w:r>
            <w:r w:rsidRPr="005E2CEF">
              <w:rPr>
                <w:rStyle w:val="Hipercze"/>
                <w:b/>
                <w:bCs/>
                <w:noProof/>
                <w:sz w:val="24"/>
                <w:szCs w:val="24"/>
              </w:rPr>
              <w:t>Załączniki: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_Toc200113198 \h </w:instrText>
            </w:r>
            <w:r w:rsidRPr="005E2CEF">
              <w:rPr>
                <w:noProof/>
                <w:webHidden/>
                <w:sz w:val="24"/>
                <w:szCs w:val="24"/>
              </w:rPr>
            </w:r>
            <w:r w:rsidRPr="005E2CEF">
              <w:rPr>
                <w:noProof/>
                <w:webHidden/>
                <w:sz w:val="24"/>
                <w:szCs w:val="24"/>
              </w:rPr>
              <w:fldChar w:fldCharType="separate"/>
            </w:r>
            <w:r w:rsidR="003C328C">
              <w:rPr>
                <w:noProof/>
                <w:webHidden/>
                <w:sz w:val="24"/>
                <w:szCs w:val="24"/>
              </w:rPr>
              <w:t>77</w:t>
            </w:r>
            <w:r w:rsidRPr="005E2CEF">
              <w:rPr>
                <w:noProof/>
                <w:webHidden/>
                <w:sz w:val="24"/>
                <w:szCs w:val="24"/>
              </w:rPr>
              <w:fldChar w:fldCharType="end"/>
            </w:r>
          </w:hyperlink>
        </w:p>
        <w:p w14:paraId="35A3854D" w14:textId="79A85099" w:rsidR="005A3E29" w:rsidRPr="005E2CEF" w:rsidRDefault="00C71F74" w:rsidP="005A3E29">
          <w:pPr>
            <w:rPr>
              <w:sz w:val="24"/>
              <w:szCs w:val="24"/>
            </w:rPr>
          </w:pPr>
          <w:r w:rsidRPr="005E2CEF">
            <w:rPr>
              <w:sz w:val="24"/>
              <w:szCs w:val="24"/>
            </w:rPr>
            <w:fldChar w:fldCharType="end"/>
          </w:r>
        </w:p>
      </w:sdtContent>
    </w:sdt>
    <w:p w14:paraId="2C99230C" w14:textId="77777777" w:rsidR="005A3E29" w:rsidRPr="005E2CEF" w:rsidRDefault="005A3E29">
      <w:pPr>
        <w:widowControl/>
        <w:autoSpaceDE/>
        <w:autoSpaceDN/>
        <w:adjustRightInd/>
        <w:spacing w:after="160" w:line="259" w:lineRule="auto"/>
        <w:rPr>
          <w:rFonts w:eastAsiaTheme="majorEastAsia"/>
          <w:b/>
          <w:bCs/>
          <w:color w:val="000000" w:themeColor="text1"/>
          <w:sz w:val="24"/>
          <w:szCs w:val="24"/>
        </w:rPr>
      </w:pPr>
      <w:r w:rsidRPr="005E2CEF">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0" w:name="_Toc200113153"/>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0F90E967" w14:textId="23090E23" w:rsidR="00B5054C" w:rsidRPr="00211FC2" w:rsidRDefault="00B5054C" w:rsidP="00842E01">
      <w:pPr>
        <w:spacing w:before="120" w:after="120" w:line="276" w:lineRule="auto"/>
        <w:rPr>
          <w:color w:val="000000" w:themeColor="text1"/>
          <w:sz w:val="24"/>
          <w:szCs w:val="24"/>
        </w:rPr>
      </w:pPr>
      <w:r w:rsidRPr="00B5054C">
        <w:rPr>
          <w:b/>
          <w:bCs/>
          <w:color w:val="000000" w:themeColor="text1"/>
          <w:sz w:val="24"/>
          <w:szCs w:val="24"/>
        </w:rPr>
        <w:t>LOWE</w:t>
      </w:r>
      <w:r w:rsidRPr="00B5054C">
        <w:rPr>
          <w:color w:val="000000" w:themeColor="text1"/>
          <w:sz w:val="24"/>
          <w:szCs w:val="24"/>
        </w:rPr>
        <w:t xml:space="preserve"> – Lokalny Ośrodek Wiedzy i Edukacji;</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Pr="00211FC2"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lastRenderedPageBreak/>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2" w:name="_Toc200113154"/>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3ABC87A" w14:textId="368E68A5" w:rsidR="003B6D06" w:rsidRPr="003B6D06" w:rsidRDefault="003B6D06" w:rsidP="00842E01">
      <w:pPr>
        <w:spacing w:before="120" w:after="120" w:line="276" w:lineRule="auto"/>
        <w:rPr>
          <w:bCs/>
          <w:color w:val="000000" w:themeColor="text1"/>
          <w:sz w:val="24"/>
          <w:szCs w:val="24"/>
        </w:rPr>
      </w:pPr>
      <w:r w:rsidRPr="003B6D06">
        <w:rPr>
          <w:b/>
          <w:bCs/>
          <w:color w:val="000000" w:themeColor="text1"/>
          <w:sz w:val="24"/>
          <w:szCs w:val="24"/>
        </w:rPr>
        <w:t>osoba starsza</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w wieku 65 lat i więcej, tj. od dnia, w którym przypadają 65 urodziny. Wiek uczestników określany jest na podstawie daty urodzenia i ustalany w</w:t>
      </w:r>
      <w:r w:rsidR="0071298D">
        <w:rPr>
          <w:bCs/>
          <w:color w:val="000000" w:themeColor="text1"/>
          <w:sz w:val="24"/>
          <w:szCs w:val="24"/>
        </w:rPr>
        <w:t> </w:t>
      </w:r>
      <w:r w:rsidRPr="003B6D06">
        <w:rPr>
          <w:bCs/>
          <w:color w:val="000000" w:themeColor="text1"/>
          <w:sz w:val="24"/>
          <w:szCs w:val="24"/>
        </w:rPr>
        <w:t>dniu rozpoczęcia udziału w projekcie</w:t>
      </w:r>
      <w:r w:rsidR="0071298D">
        <w:rPr>
          <w:bCs/>
          <w:color w:val="000000" w:themeColor="text1"/>
          <w:sz w:val="24"/>
          <w:szCs w:val="24"/>
        </w:rPr>
        <w:t>;</w:t>
      </w:r>
      <w:r w:rsidRPr="003B6D06">
        <w:rPr>
          <w:bCs/>
          <w:color w:val="000000" w:themeColor="text1"/>
          <w:sz w:val="24"/>
          <w:szCs w:val="24"/>
        </w:rPr>
        <w:t xml:space="preserve"> </w:t>
      </w:r>
    </w:p>
    <w:p w14:paraId="5D609834" w14:textId="4B4F05ED" w:rsidR="003B6D06" w:rsidRPr="003B6D06" w:rsidRDefault="003B6D06" w:rsidP="003B6D06">
      <w:pPr>
        <w:spacing w:before="120" w:after="120" w:line="276" w:lineRule="auto"/>
        <w:rPr>
          <w:bCs/>
          <w:color w:val="000000" w:themeColor="text1"/>
          <w:sz w:val="24"/>
          <w:szCs w:val="24"/>
        </w:rPr>
      </w:pPr>
      <w:r w:rsidRPr="003B6D06">
        <w:rPr>
          <w:b/>
          <w:bCs/>
          <w:color w:val="000000" w:themeColor="text1"/>
          <w:sz w:val="24"/>
          <w:szCs w:val="24"/>
        </w:rPr>
        <w:t>osoba wykluczona cyfrowo</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nieposiadające dostępu do sieci internetowej i nowoczesnych form komunikacji.</w:t>
      </w:r>
      <w:r w:rsidRPr="003B6D06">
        <w:rPr>
          <w:color w:val="000000" w:themeColor="text1"/>
          <w:sz w:val="24"/>
          <w:szCs w:val="24"/>
        </w:rPr>
        <w:t xml:space="preserve"> </w:t>
      </w:r>
      <w:r w:rsidRPr="003B6D06">
        <w:rPr>
          <w:bCs/>
          <w:color w:val="000000" w:themeColor="text1"/>
          <w:sz w:val="24"/>
          <w:szCs w:val="24"/>
        </w:rPr>
        <w:t>Termin wykluczenia cyfrowego nie sprowadza się tylko do możliwości dostępu do Internetu. Oprócz tego ważne są czynniki takie jak:</w:t>
      </w:r>
    </w:p>
    <w:p w14:paraId="5DBBF0F5" w14:textId="77777777" w:rsidR="003B6D06" w:rsidRPr="003B6D06" w:rsidRDefault="003B6D06" w:rsidP="003C7A3F">
      <w:pPr>
        <w:numPr>
          <w:ilvl w:val="0"/>
          <w:numId w:val="113"/>
        </w:numPr>
        <w:spacing w:before="120" w:after="120" w:line="276" w:lineRule="auto"/>
        <w:rPr>
          <w:color w:val="000000" w:themeColor="text1"/>
          <w:sz w:val="24"/>
          <w:szCs w:val="24"/>
        </w:rPr>
      </w:pPr>
      <w:r w:rsidRPr="003B6D06">
        <w:rPr>
          <w:color w:val="000000" w:themeColor="text1"/>
          <w:sz w:val="24"/>
          <w:szCs w:val="24"/>
        </w:rPr>
        <w:t>brak umiejętności posługiwania się komputerem (zwłaszcza wśród osób starszych),</w:t>
      </w:r>
    </w:p>
    <w:p w14:paraId="0E17E0B1" w14:textId="43201998" w:rsidR="003B6D06" w:rsidRPr="003B6D06" w:rsidRDefault="003B6D06" w:rsidP="003C7A3F">
      <w:pPr>
        <w:numPr>
          <w:ilvl w:val="0"/>
          <w:numId w:val="113"/>
        </w:numPr>
        <w:spacing w:before="120" w:after="120" w:line="276" w:lineRule="auto"/>
        <w:rPr>
          <w:bCs/>
          <w:color w:val="000000" w:themeColor="text1"/>
          <w:sz w:val="24"/>
          <w:szCs w:val="24"/>
        </w:rPr>
      </w:pPr>
      <w:r w:rsidRPr="003B6D06">
        <w:rPr>
          <w:color w:val="000000" w:themeColor="text1"/>
          <w:sz w:val="24"/>
          <w:szCs w:val="24"/>
        </w:rPr>
        <w:t xml:space="preserve">brak </w:t>
      </w:r>
      <w:r w:rsidRPr="003B6D06">
        <w:rPr>
          <w:bCs/>
          <w:color w:val="000000" w:themeColor="text1"/>
          <w:sz w:val="24"/>
          <w:szCs w:val="24"/>
        </w:rPr>
        <w:t>umiejętność posługiwania się Internetem,</w:t>
      </w:r>
    </w:p>
    <w:p w14:paraId="6FC288C0" w14:textId="2BED17F7" w:rsidR="003B6D06" w:rsidRDefault="003B6D06" w:rsidP="003C7A3F">
      <w:pPr>
        <w:numPr>
          <w:ilvl w:val="0"/>
          <w:numId w:val="113"/>
        </w:numPr>
        <w:spacing w:before="120" w:after="120" w:line="276" w:lineRule="auto"/>
        <w:rPr>
          <w:bCs/>
          <w:color w:val="000000" w:themeColor="text1"/>
          <w:sz w:val="24"/>
          <w:szCs w:val="24"/>
        </w:rPr>
      </w:pPr>
      <w:r w:rsidRPr="003B6D06">
        <w:rPr>
          <w:bCs/>
          <w:color w:val="000000" w:themeColor="text1"/>
          <w:sz w:val="24"/>
          <w:szCs w:val="24"/>
        </w:rPr>
        <w:t>jakość połączenia</w:t>
      </w:r>
      <w:r w:rsidRPr="003B6D06">
        <w:rPr>
          <w:color w:val="000000" w:themeColor="text1"/>
          <w:sz w:val="24"/>
          <w:szCs w:val="24"/>
        </w:rPr>
        <w:t xml:space="preserve"> tj. niska prędkość łącza (szczególnie w małych miastach i</w:t>
      </w:r>
      <w:r w:rsidR="0071298D">
        <w:rPr>
          <w:color w:val="000000" w:themeColor="text1"/>
          <w:sz w:val="24"/>
          <w:szCs w:val="24"/>
        </w:rPr>
        <w:t> </w:t>
      </w:r>
      <w:r w:rsidRPr="003B6D06">
        <w:rPr>
          <w:color w:val="000000" w:themeColor="text1"/>
          <w:sz w:val="24"/>
          <w:szCs w:val="24"/>
        </w:rPr>
        <w:t>na wsi)</w:t>
      </w:r>
      <w:r w:rsidRPr="003B6D06">
        <w:rPr>
          <w:bCs/>
          <w:color w:val="000000" w:themeColor="text1"/>
          <w:sz w:val="24"/>
          <w:szCs w:val="24"/>
        </w:rPr>
        <w:t>,</w:t>
      </w:r>
    </w:p>
    <w:p w14:paraId="2FF784FB" w14:textId="2435D62E" w:rsidR="0071298D" w:rsidRPr="0071298D" w:rsidRDefault="003B6D06" w:rsidP="003C7A3F">
      <w:pPr>
        <w:numPr>
          <w:ilvl w:val="0"/>
          <w:numId w:val="113"/>
        </w:numPr>
        <w:spacing w:before="120" w:after="120" w:line="276" w:lineRule="auto"/>
        <w:rPr>
          <w:bCs/>
          <w:color w:val="000000" w:themeColor="text1"/>
          <w:sz w:val="24"/>
          <w:szCs w:val="24"/>
        </w:rPr>
      </w:pPr>
      <w:r w:rsidRPr="0071298D">
        <w:rPr>
          <w:bCs/>
          <w:color w:val="000000" w:themeColor="text1"/>
          <w:sz w:val="24"/>
          <w:szCs w:val="24"/>
        </w:rPr>
        <w:t>wymiar językowy tj. brak znajomości języka, w którym potrzebne informacje występują</w:t>
      </w:r>
      <w:r w:rsidR="0071298D">
        <w:rPr>
          <w:bCs/>
          <w:color w:val="000000" w:themeColor="text1"/>
          <w:sz w:val="24"/>
          <w:szCs w:val="24"/>
        </w:rPr>
        <w:t>;</w:t>
      </w:r>
      <w:r w:rsidRPr="0071298D">
        <w:rPr>
          <w:bCs/>
          <w:color w:val="000000" w:themeColor="text1"/>
          <w:sz w:val="24"/>
          <w:szCs w:val="24"/>
        </w:rPr>
        <w:t xml:space="preserve"> </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 xml:space="preserve">ramach funduszy unijnych na lata 2021–2027 lub </w:t>
      </w:r>
      <w:r w:rsidRPr="00211FC2">
        <w:rPr>
          <w:color w:val="000000" w:themeColor="text1"/>
          <w:sz w:val="24"/>
          <w:szCs w:val="24"/>
        </w:rPr>
        <w:lastRenderedPageBreak/>
        <w:t>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842E01">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200113155"/>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C3332A">
      <w:pPr>
        <w:pStyle w:val="Nagwek2"/>
      </w:pPr>
      <w:bookmarkStart w:id="5" w:name="_Toc135211317"/>
      <w:bookmarkStart w:id="6" w:name="_Toc200113156"/>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3EB58846"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 xml:space="preserve">y (Dz. U. z 2023 r. poz. 1610 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454DA819"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2643E6"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 xml:space="preserve">1169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002643E6" w:rsidRPr="00211FC2">
        <w:rPr>
          <w:rFonts w:eastAsia="Calibri" w:cstheme="minorHAnsi"/>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90BCED8"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31</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1E9257EE"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 xml:space="preserve">w </w:t>
      </w:r>
      <w:r w:rsidRPr="00211FC2">
        <w:rPr>
          <w:color w:val="000000" w:themeColor="text1"/>
          <w:spacing w:val="-1"/>
          <w:sz w:val="24"/>
          <w:szCs w:val="24"/>
        </w:rPr>
        <w:lastRenderedPageBreak/>
        <w:t>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7C979A23"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9" w:name="_Toc135211318"/>
      <w:bookmarkStart w:id="10" w:name="_Toc200113157"/>
      <w:bookmarkStart w:id="11" w:name="_Hlk135293658"/>
      <w:r w:rsidRPr="00211FC2">
        <w:t>Informacje na temat zmiany dokumentu</w:t>
      </w:r>
      <w:bookmarkEnd w:id="9"/>
      <w:bookmarkEnd w:id="10"/>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lastRenderedPageBreak/>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D014AA"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AD4AECB" w14:textId="1A1F8CCA" w:rsidR="00D014AA" w:rsidRPr="00D014AA" w:rsidRDefault="00D014AA" w:rsidP="00D014AA">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 xml:space="preserve">powania w zakresie wyboru projektów do dofinansowania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projektów (art. 51 ust. 7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750988BC" w14:textId="77777777" w:rsidR="00F43E43" w:rsidRDefault="00F43E43" w:rsidP="00F43E43">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r>
        <w:rPr>
          <w:color w:val="000000" w:themeColor="text1"/>
          <w:spacing w:val="-1"/>
          <w:sz w:val="24"/>
          <w:szCs w:val="24"/>
        </w:rPr>
        <w:t xml:space="preserve"> </w:t>
      </w:r>
    </w:p>
    <w:p w14:paraId="09CF9866"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7C163D85"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7C43078E"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0175C67E" w14:textId="6EEA7630" w:rsidR="00F43E43" w:rsidRP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11C28A59" w14:textId="77777777" w:rsidR="00DB0EB4" w:rsidRPr="00E73FDB" w:rsidRDefault="00DB0EB4" w:rsidP="00630DF0">
      <w:pPr>
        <w:pStyle w:val="Nagwek1"/>
        <w:spacing w:before="120" w:after="240" w:line="23" w:lineRule="atLeast"/>
        <w:ind w:left="357" w:hanging="357"/>
        <w:rPr>
          <w:rFonts w:ascii="Arial" w:hAnsi="Arial" w:cs="Arial"/>
          <w:b/>
          <w:color w:val="auto"/>
          <w:sz w:val="24"/>
          <w:szCs w:val="24"/>
        </w:rPr>
      </w:pPr>
      <w:bookmarkStart w:id="12" w:name="_Toc200113158"/>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E6C1C">
      <w:pPr>
        <w:pStyle w:val="Nagwek2"/>
      </w:pPr>
      <w:bookmarkStart w:id="13" w:name="_Toc200113159"/>
      <w:r w:rsidRPr="00211FC2">
        <w:t>Przedmiot naboru</w:t>
      </w:r>
      <w:bookmarkEnd w:id="13"/>
    </w:p>
    <w:p w14:paraId="64D757D2" w14:textId="09435492"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7DD2A721" w:rsidR="00D815E4" w:rsidRPr="00D815E4"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D815E4" w:rsidRPr="00D815E4">
        <w:rPr>
          <w:color w:val="000000" w:themeColor="text1"/>
          <w:sz w:val="24"/>
          <w:szCs w:val="24"/>
        </w:rPr>
        <w:t>Działania 7.4</w:t>
      </w:r>
      <w:r w:rsidR="00D815E4" w:rsidRPr="00D815E4">
        <w:rPr>
          <w:b/>
          <w:bCs/>
          <w:color w:val="000000" w:themeColor="text1"/>
          <w:sz w:val="24"/>
          <w:szCs w:val="24"/>
        </w:rPr>
        <w:t xml:space="preserve"> </w:t>
      </w:r>
      <w:r w:rsidR="00D815E4" w:rsidRPr="00D815E4">
        <w:rPr>
          <w:color w:val="000000" w:themeColor="text1"/>
          <w:sz w:val="24"/>
          <w:szCs w:val="24"/>
        </w:rPr>
        <w:t>Wspieranie uczenia się przez całe życie.</w:t>
      </w:r>
    </w:p>
    <w:p w14:paraId="0C12D7ED" w14:textId="53DB8F6A" w:rsidR="00D815E4" w:rsidRPr="00D815E4" w:rsidRDefault="00D815E4"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Celem interwencji jest wspieranie uczenia się przez całe życie, w szczególności elastycznych możliwości podnoszenia i zmiany kwalifikacji dla wszystkich, z</w:t>
      </w:r>
      <w:r>
        <w:rPr>
          <w:color w:val="000000" w:themeColor="text1"/>
          <w:sz w:val="24"/>
          <w:szCs w:val="24"/>
        </w:rPr>
        <w:t> </w:t>
      </w:r>
      <w:r w:rsidRPr="00D815E4">
        <w:rPr>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color w:val="000000" w:themeColor="text1"/>
          <w:sz w:val="24"/>
          <w:szCs w:val="24"/>
        </w:rPr>
        <w:t> </w:t>
      </w:r>
      <w:r w:rsidRPr="00D815E4">
        <w:rPr>
          <w:color w:val="000000" w:themeColor="text1"/>
          <w:sz w:val="24"/>
          <w:szCs w:val="24"/>
        </w:rPr>
        <w:t>wspieranie mobilności zawodowej.</w:t>
      </w:r>
    </w:p>
    <w:p w14:paraId="5943EE1C" w14:textId="6AE7AA15" w:rsidR="00DB0EB4" w:rsidRPr="00211FC2" w:rsidRDefault="00DB0EB4" w:rsidP="00AE6C1C">
      <w:pPr>
        <w:pStyle w:val="Nagwek2"/>
      </w:pPr>
      <w:bookmarkStart w:id="14" w:name="_Toc200113160"/>
      <w:r w:rsidRPr="00211FC2">
        <w:lastRenderedPageBreak/>
        <w:t>Podstawowe informacje o naborze</w:t>
      </w:r>
      <w:bookmarkEnd w:id="14"/>
    </w:p>
    <w:p w14:paraId="751F534E" w14:textId="77777777" w:rsidR="003A5329" w:rsidRDefault="00EB6110"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3C7A3F">
      <w:pPr>
        <w:pStyle w:val="Default"/>
        <w:numPr>
          <w:ilvl w:val="0"/>
          <w:numId w:val="92"/>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w:t>
      </w:r>
      <w:r w:rsidRPr="00211FC2">
        <w:rPr>
          <w:color w:val="000000" w:themeColor="text1"/>
        </w:rPr>
        <w:lastRenderedPageBreak/>
        <w:t>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3C7A3F">
      <w:pPr>
        <w:pStyle w:val="Default"/>
        <w:numPr>
          <w:ilvl w:val="0"/>
          <w:numId w:val="92"/>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3C7A3F">
      <w:pPr>
        <w:pStyle w:val="Default"/>
        <w:numPr>
          <w:ilvl w:val="0"/>
          <w:numId w:val="92"/>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3C7A3F">
      <w:pPr>
        <w:pStyle w:val="Default"/>
        <w:numPr>
          <w:ilvl w:val="0"/>
          <w:numId w:val="92"/>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817607" w:rsidP="00D815E4">
      <w:pPr>
        <w:pStyle w:val="Default"/>
        <w:spacing w:before="120" w:line="276" w:lineRule="auto"/>
        <w:ind w:left="425"/>
        <w:rPr>
          <w:color w:val="000000" w:themeColor="text1"/>
        </w:rPr>
      </w:pPr>
      <w:hyperlink r:id="rId9" w:history="1">
        <w:r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3C7A3F">
      <w:pPr>
        <w:pStyle w:val="Default"/>
        <w:numPr>
          <w:ilvl w:val="0"/>
          <w:numId w:val="92"/>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D815E4">
      <w:pPr>
        <w:pStyle w:val="Default"/>
        <w:spacing w:before="120" w:line="276" w:lineRule="auto"/>
        <w:ind w:left="425"/>
        <w:rPr>
          <w:color w:val="auto"/>
        </w:rPr>
      </w:pPr>
      <w:r w:rsidRPr="00386462">
        <w:t xml:space="preserve">Informacje na temat BK2021, dane kontaktowe wsparcia technicznego aplikacji, a także niezbędne instrukcje dla użytkowników znajdują się na stronie: </w:t>
      </w:r>
      <w:hyperlink r:id="rId11" w:history="1">
        <w:r w:rsidRPr="00386462">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E6C1C">
      <w:pPr>
        <w:pStyle w:val="Nagwek2"/>
      </w:pPr>
      <w:bookmarkStart w:id="15" w:name="_Toc20011316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2300FB6E"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A66E8F">
        <w:rPr>
          <w:sz w:val="24"/>
          <w:szCs w:val="24"/>
        </w:rPr>
        <w:t>56</w:t>
      </w:r>
      <w:r w:rsidRPr="00D815E4">
        <w:rPr>
          <w:sz w:val="24"/>
          <w:szCs w:val="24"/>
        </w:rPr>
        <w:t>);</w:t>
      </w:r>
    </w:p>
    <w:p w14:paraId="1CC50C45" w14:textId="1054017F"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A66E8F">
        <w:rPr>
          <w:sz w:val="24"/>
          <w:szCs w:val="24"/>
        </w:rPr>
        <w:t>215</w:t>
      </w:r>
      <w:r w:rsidRPr="00D815E4">
        <w:rPr>
          <w:sz w:val="24"/>
          <w:szCs w:val="24"/>
        </w:rPr>
        <w:t>).</w:t>
      </w:r>
    </w:p>
    <w:p w14:paraId="2237E12B" w14:textId="4F1FB16B" w:rsidR="00C42467" w:rsidRPr="00D815E4" w:rsidRDefault="00C42467" w:rsidP="003C7A3F">
      <w:pPr>
        <w:numPr>
          <w:ilvl w:val="0"/>
          <w:numId w:val="55"/>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D9552A">
      <w:pPr>
        <w:pStyle w:val="Nagwek2"/>
        <w:rPr>
          <w:color w:val="auto"/>
        </w:rPr>
      </w:pPr>
      <w:bookmarkStart w:id="16" w:name="_Toc200113162"/>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14B8E268" w14:textId="3E937F09" w:rsidR="00F70884" w:rsidRPr="00BF4307" w:rsidRDefault="00195DB2" w:rsidP="003C7A3F">
      <w:pPr>
        <w:pStyle w:val="Akapitzlist"/>
        <w:numPr>
          <w:ilvl w:val="0"/>
          <w:numId w:val="80"/>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D815E4" w:rsidRPr="00D815E4">
        <w:rPr>
          <w:b/>
          <w:bCs/>
          <w:sz w:val="24"/>
          <w:szCs w:val="24"/>
        </w:rPr>
        <w:t>9</w:t>
      </w:r>
      <w:r w:rsidR="00D815E4">
        <w:rPr>
          <w:b/>
          <w:bCs/>
          <w:sz w:val="24"/>
          <w:szCs w:val="24"/>
        </w:rPr>
        <w:t> </w:t>
      </w:r>
      <w:r w:rsidR="0033668B">
        <w:rPr>
          <w:b/>
          <w:bCs/>
          <w:sz w:val="24"/>
          <w:szCs w:val="24"/>
        </w:rPr>
        <w:t>658 </w:t>
      </w:r>
      <w:r w:rsidR="0033668B" w:rsidRPr="00D815E4">
        <w:rPr>
          <w:b/>
          <w:bCs/>
          <w:sz w:val="24"/>
          <w:szCs w:val="24"/>
        </w:rPr>
        <w:t>1</w:t>
      </w:r>
      <w:r w:rsidR="0033668B">
        <w:rPr>
          <w:b/>
          <w:bCs/>
          <w:sz w:val="24"/>
          <w:szCs w:val="24"/>
        </w:rPr>
        <w:t>41</w:t>
      </w:r>
      <w:r w:rsidR="00D815E4">
        <w:rPr>
          <w:b/>
          <w:bCs/>
          <w:sz w:val="24"/>
          <w:szCs w:val="24"/>
        </w:rPr>
        <w:t>,</w:t>
      </w:r>
      <w:r w:rsidR="0033668B">
        <w:rPr>
          <w:b/>
          <w:bCs/>
          <w:sz w:val="24"/>
          <w:szCs w:val="24"/>
        </w:rPr>
        <w:t>07</w:t>
      </w:r>
      <w:r w:rsidR="006233DD">
        <w:rPr>
          <w:b/>
          <w:bCs/>
          <w:sz w:val="24"/>
          <w:szCs w:val="24"/>
        </w:rPr>
        <w:t> </w:t>
      </w:r>
      <w:r w:rsidRPr="006233DD">
        <w:rPr>
          <w:b/>
          <w:bCs/>
          <w:sz w:val="24"/>
          <w:szCs w:val="24"/>
        </w:rPr>
        <w:t>zł</w:t>
      </w:r>
      <w:r w:rsidR="00D815E4" w:rsidRPr="006233DD">
        <w:rPr>
          <w:b/>
          <w:bCs/>
          <w:sz w:val="24"/>
          <w:szCs w:val="24"/>
        </w:rPr>
        <w:t>.</w:t>
      </w:r>
    </w:p>
    <w:p w14:paraId="2C1195AC" w14:textId="7DCF8562" w:rsidR="00CA059B"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403A65AB" w14:textId="170626A9" w:rsidR="00195DB2"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7" w:name="_Toc200113163"/>
      <w:r w:rsidRPr="00211FC2">
        <w:lastRenderedPageBreak/>
        <w:t>Termin, forma</w:t>
      </w:r>
      <w:r w:rsidR="0017579E" w:rsidRPr="00211FC2">
        <w:t xml:space="preserve"> i </w:t>
      </w:r>
      <w:r w:rsidRPr="00211FC2">
        <w:t>miejsce składania wniosku o dofinansowanie</w:t>
      </w:r>
      <w:bookmarkEnd w:id="17"/>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52098359"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 xml:space="preserve">26.08.2024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23EA95A2"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273C41">
        <w:rPr>
          <w:b/>
          <w:bCs/>
          <w:sz w:val="24"/>
          <w:szCs w:val="24"/>
        </w:rPr>
        <w:t>21</w:t>
      </w:r>
      <w:r w:rsidR="00D815E4" w:rsidRPr="00D815E4">
        <w:rPr>
          <w:b/>
          <w:bCs/>
          <w:sz w:val="24"/>
          <w:szCs w:val="24"/>
        </w:rPr>
        <w:t xml:space="preserve">.10.2024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6F5C152A" w:rsidR="006F26D6" w:rsidRPr="00D815E4" w:rsidRDefault="004D1FAF"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705D66">
        <w:rPr>
          <w:sz w:val="24"/>
          <w:szCs w:val="24"/>
        </w:rPr>
        <w:t>kwiecień 2025</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3C7A3F">
      <w:pPr>
        <w:pStyle w:val="Akapitzlist"/>
        <w:numPr>
          <w:ilvl w:val="0"/>
          <w:numId w:val="64"/>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lastRenderedPageBreak/>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065CAC">
      <w:pPr>
        <w:pStyle w:val="Akapitzlist"/>
        <w:spacing w:before="120" w:line="276" w:lineRule="auto"/>
        <w:ind w:left="709"/>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3C7A3F">
      <w:pPr>
        <w:pStyle w:val="Akapitzlist"/>
        <w:numPr>
          <w:ilvl w:val="0"/>
          <w:numId w:val="95"/>
        </w:numPr>
        <w:spacing w:before="120" w:line="276" w:lineRule="auto"/>
        <w:ind w:left="851"/>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w:t>
      </w:r>
      <w:proofErr w:type="spellStart"/>
      <w:r w:rsidRPr="00D815E4">
        <w:rPr>
          <w:color w:val="000000" w:themeColor="text1"/>
          <w:sz w:val="24"/>
          <w:szCs w:val="24"/>
        </w:rPr>
        <w:t>xlsx</w:t>
      </w:r>
      <w:proofErr w:type="spellEnd"/>
      <w:r w:rsidRPr="00D815E4">
        <w:rPr>
          <w:color w:val="000000" w:themeColor="text1"/>
          <w:sz w:val="24"/>
          <w:szCs w:val="24"/>
        </w:rPr>
        <w:t>);</w:t>
      </w:r>
    </w:p>
    <w:p w14:paraId="593792AE" w14:textId="349AA650"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5A92D936" w:rsidR="00610860" w:rsidRPr="00D815E4" w:rsidRDefault="00610860" w:rsidP="00D815E4">
      <w:pPr>
        <w:spacing w:before="120" w:line="276" w:lineRule="auto"/>
        <w:ind w:left="426"/>
        <w:rPr>
          <w:color w:val="000000" w:themeColor="text1"/>
          <w:sz w:val="24"/>
          <w:szCs w:val="24"/>
        </w:rPr>
      </w:pPr>
      <w:r w:rsidRPr="00D815E4">
        <w:rPr>
          <w:color w:val="000000" w:themeColor="text1"/>
          <w:sz w:val="24"/>
          <w:szCs w:val="24"/>
        </w:rPr>
        <w:t>Ww. załączniki określone w lit. a-</w:t>
      </w:r>
      <w:r w:rsidR="00A259B9" w:rsidRPr="00D815E4">
        <w:rPr>
          <w:color w:val="000000" w:themeColor="text1"/>
          <w:sz w:val="24"/>
          <w:szCs w:val="24"/>
        </w:rPr>
        <w:t>c</w:t>
      </w:r>
      <w:r w:rsidRPr="00D815E4">
        <w:rPr>
          <w:color w:val="000000" w:themeColor="text1"/>
          <w:sz w:val="24"/>
          <w:szCs w:val="24"/>
        </w:rPr>
        <w:t xml:space="preserve"> należy podpisać podpisem kwalifikowanym</w:t>
      </w:r>
      <w:r w:rsidR="00927E31">
        <w:rPr>
          <w:color w:val="000000" w:themeColor="text1"/>
          <w:sz w:val="24"/>
          <w:szCs w:val="24"/>
        </w:rPr>
        <w:t>, wszystkie załączniki należy</w:t>
      </w:r>
      <w:r w:rsidR="00927E31" w:rsidRPr="00D815E4">
        <w:rPr>
          <w:color w:val="000000" w:themeColor="text1"/>
          <w:sz w:val="24"/>
          <w:szCs w:val="24"/>
        </w:rPr>
        <w:t xml:space="preserve"> przesłać</w:t>
      </w:r>
      <w:r w:rsidRPr="00D815E4">
        <w:rPr>
          <w:color w:val="000000" w:themeColor="text1"/>
          <w:sz w:val="24"/>
          <w:szCs w:val="24"/>
        </w:rPr>
        <w:t xml:space="preserve"> wraz z wnioskiem o</w:t>
      </w:r>
      <w:r w:rsidR="00EC3C95">
        <w:rPr>
          <w:color w:val="000000" w:themeColor="text1"/>
          <w:sz w:val="24"/>
          <w:szCs w:val="24"/>
        </w:rPr>
        <w:t> </w:t>
      </w:r>
      <w:r w:rsidRPr="00D815E4">
        <w:rPr>
          <w:color w:val="000000" w:themeColor="text1"/>
          <w:sz w:val="24"/>
          <w:szCs w:val="24"/>
        </w:rPr>
        <w:t>dofinansowanie w</w:t>
      </w:r>
      <w:r w:rsidR="00927E31">
        <w:rPr>
          <w:color w:val="000000" w:themeColor="text1"/>
          <w:sz w:val="24"/>
          <w:szCs w:val="24"/>
        </w:rPr>
        <w:t> </w:t>
      </w:r>
      <w:r w:rsidRPr="00D815E4">
        <w:rPr>
          <w:color w:val="000000" w:themeColor="text1"/>
          <w:sz w:val="24"/>
          <w:szCs w:val="24"/>
        </w:rPr>
        <w:t>systemie SOWA EFS.</w:t>
      </w:r>
    </w:p>
    <w:p w14:paraId="5541FD93" w14:textId="77777777" w:rsidR="00065CAC" w:rsidRDefault="00610860" w:rsidP="00D815E4">
      <w:pPr>
        <w:spacing w:before="120" w:line="276" w:lineRule="auto"/>
        <w:ind w:left="426"/>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 xml:space="preserve">nazwisko albo pieczęć zawierająca imię i nazwisko oraz odręczny podpis. W przypadku dokumentów podpisanych odręcznie należy przedłożyć ich skan </w:t>
      </w:r>
      <w:r w:rsidRPr="00D815E4">
        <w:rPr>
          <w:color w:val="000000" w:themeColor="text1"/>
          <w:sz w:val="24"/>
          <w:szCs w:val="24"/>
        </w:rPr>
        <w:lastRenderedPageBreak/>
        <w:t>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D815E4">
      <w:pPr>
        <w:spacing w:before="120" w:line="276" w:lineRule="auto"/>
        <w:ind w:left="426"/>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3" w:name="_Toc200113164"/>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D9552A">
      <w:pPr>
        <w:pStyle w:val="Nagwek2"/>
      </w:pPr>
      <w:bookmarkStart w:id="24" w:name="_Toc200113165"/>
      <w:r w:rsidRPr="00211FC2">
        <w:t>Podmioty uprawnione do ubiegania się o dofinansowanie</w:t>
      </w:r>
      <w:bookmarkEnd w:id="24"/>
    </w:p>
    <w:p w14:paraId="3BA304DB" w14:textId="214CFF79" w:rsidR="00BF676F" w:rsidRDefault="00BF676F" w:rsidP="003C7A3F">
      <w:pPr>
        <w:pStyle w:val="Akapitzlist"/>
        <w:numPr>
          <w:ilvl w:val="0"/>
          <w:numId w:val="66"/>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 xml:space="preserve">podmioty prowadzące kształcenie i szkolenie osób dorosłych w systemie formalnym i </w:t>
      </w:r>
      <w:proofErr w:type="spellStart"/>
      <w:r w:rsidR="00F6552A">
        <w:rPr>
          <w:color w:val="000000" w:themeColor="text1"/>
          <w:sz w:val="24"/>
          <w:szCs w:val="24"/>
          <w:lang w:bidi="pl-PL"/>
        </w:rPr>
        <w:t>pozaformalnym</w:t>
      </w:r>
      <w:proofErr w:type="spellEnd"/>
      <w:r w:rsidR="00A544F4" w:rsidRPr="00211FC2">
        <w:rPr>
          <w:color w:val="000000" w:themeColor="text1"/>
          <w:sz w:val="24"/>
          <w:szCs w:val="24"/>
          <w:lang w:bidi="pl-PL"/>
        </w:rPr>
        <w:t>.</w:t>
      </w:r>
    </w:p>
    <w:p w14:paraId="282D1234" w14:textId="73EB938F" w:rsidR="00927E31" w:rsidRPr="00927E31" w:rsidRDefault="00927E31" w:rsidP="00927E31">
      <w:pPr>
        <w:spacing w:before="120" w:line="276" w:lineRule="auto"/>
        <w:rPr>
          <w:color w:val="000000" w:themeColor="text1"/>
          <w:sz w:val="24"/>
          <w:szCs w:val="24"/>
          <w:lang w:bidi="pl-PL"/>
        </w:rPr>
      </w:pPr>
      <w:r w:rsidRPr="00927E31">
        <w:rPr>
          <w:b/>
          <w:bCs/>
          <w:color w:val="000000" w:themeColor="text1"/>
          <w:sz w:val="24"/>
          <w:szCs w:val="24"/>
          <w:lang w:bidi="pl-PL"/>
        </w:rPr>
        <w:t>Uwaga!</w:t>
      </w:r>
      <w:r>
        <w:rPr>
          <w:color w:val="000000" w:themeColor="text1"/>
          <w:sz w:val="24"/>
          <w:szCs w:val="24"/>
          <w:lang w:bidi="pl-PL"/>
        </w:rPr>
        <w:t xml:space="preserve"> Zgodnie z kryterium szczególnym nr 2 </w:t>
      </w:r>
      <w:r w:rsidR="004E76E8" w:rsidRPr="004E76E8">
        <w:rPr>
          <w:color w:val="000000" w:themeColor="text1"/>
          <w:sz w:val="24"/>
          <w:szCs w:val="24"/>
          <w:lang w:bidi="pl-PL"/>
        </w:rPr>
        <w:t>Wnioskodawcą lub Partnerem jest organ prowadzący szkołę lub placówkę systemu oświaty w województwie podlaskim, w której utworzony jest lub planuje się utworzyć LOWE.</w:t>
      </w:r>
    </w:p>
    <w:p w14:paraId="0C5DF95F" w14:textId="0897C95D" w:rsidR="006849D1" w:rsidRPr="00211FC2" w:rsidRDefault="006849D1"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55DE20E4" w14:textId="77777777" w:rsidR="00065CAC" w:rsidRPr="00065CAC" w:rsidRDefault="00065CAC" w:rsidP="00065CAC">
      <w:pPr>
        <w:spacing w:before="200" w:after="120" w:line="276" w:lineRule="auto"/>
        <w:ind w:left="426"/>
        <w:rPr>
          <w:b/>
          <w:color w:val="000000" w:themeColor="text1"/>
          <w:sz w:val="24"/>
          <w:szCs w:val="24"/>
        </w:rPr>
      </w:pPr>
      <w:r w:rsidRPr="00065CAC">
        <w:rPr>
          <w:color w:val="000000" w:themeColor="text1"/>
          <w:sz w:val="24"/>
          <w:szCs w:val="24"/>
        </w:rPr>
        <w:t>Administracja publiczna, Instytucje nauki i edukacji, Instytucje wspierające biznes, Organizacje społeczne i związki wyznaniowe, Partnerstwa, Partnerzy społeczni, Przedsiębiorstwa, 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09E5B1DF" w:rsidR="00065CAC" w:rsidRDefault="00A66E8F" w:rsidP="00A66E8F">
      <w:pPr>
        <w:pStyle w:val="Akapitzlist"/>
        <w:spacing w:before="120" w:after="120" w:line="276" w:lineRule="auto"/>
        <w:ind w:left="425"/>
        <w:contextualSpacing w:val="0"/>
        <w:rPr>
          <w:color w:val="000000" w:themeColor="text1"/>
          <w:sz w:val="24"/>
          <w:szCs w:val="24"/>
        </w:rPr>
      </w:pPr>
      <w:r w:rsidRPr="00A66E8F">
        <w:rPr>
          <w:color w:val="000000" w:themeColor="text1"/>
          <w:sz w:val="24"/>
          <w:szCs w:val="24"/>
        </w:rPr>
        <w:lastRenderedPageBreak/>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Izby Rolnicze, Jednostki doradztwa rolniczego, Jednostki naukowe, Jednostki organizacyjne działające w imieniu jednostek samorządu terytorialnego, Jednostki Samorządu Terytorialnego, Klastry, Kluby sportowe, centra sportu, Konsorcja naukowo-przemysłowe, Kościoły i związki wyznaniowe, Lokalne Grupy Działania, MŚP, Niepubliczne instytucje kultury, Niepubliczne instytucje sportu, Niepubliczne podmioty integracji i pomocy społecznej,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Pozarządowe organizacje turystyczne, Przedszkola i inne formy wychowania przedszkolnego, Szkoły i inne placówki systemu oświaty, Uczelnie, Związki zawodowe </w:t>
      </w:r>
    </w:p>
    <w:p w14:paraId="70B3CEF7" w14:textId="49411981" w:rsidR="005F01DD" w:rsidRPr="00211FC2" w:rsidRDefault="005F01DD"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3C7A3F">
      <w:pPr>
        <w:pStyle w:val="Akapitzlist"/>
        <w:numPr>
          <w:ilvl w:val="0"/>
          <w:numId w:val="35"/>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E21F4BF"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 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5" w:name="_Toc139441193"/>
      <w:bookmarkStart w:id="26" w:name="_Toc200113166"/>
      <w:r w:rsidRPr="00211FC2">
        <w:t>Podmioty występujące wspólnie (partnerstwo)</w:t>
      </w:r>
      <w:bookmarkEnd w:id="25"/>
      <w:bookmarkEnd w:id="26"/>
    </w:p>
    <w:p w14:paraId="368BC53D" w14:textId="1E733561" w:rsidR="00A73F91" w:rsidRDefault="005120BB"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w:t>
      </w:r>
      <w:r w:rsidRPr="00211FC2">
        <w:rPr>
          <w:color w:val="000000" w:themeColor="text1"/>
          <w:sz w:val="24"/>
          <w:szCs w:val="24"/>
        </w:rPr>
        <w:lastRenderedPageBreak/>
        <w:t>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3C7A3F">
      <w:pPr>
        <w:pStyle w:val="Akapitzlist"/>
        <w:numPr>
          <w:ilvl w:val="0"/>
          <w:numId w:val="21"/>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3C7A3F">
      <w:pPr>
        <w:pStyle w:val="Akapitzlist"/>
        <w:numPr>
          <w:ilvl w:val="0"/>
          <w:numId w:val="21"/>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lastRenderedPageBreak/>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26954D55" w:rsidR="00BF676F" w:rsidRPr="00060E6C" w:rsidRDefault="00BF676F" w:rsidP="003C7A3F">
      <w:pPr>
        <w:pStyle w:val="Akapitzlist"/>
        <w:numPr>
          <w:ilvl w:val="0"/>
          <w:numId w:val="21"/>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B76029">
        <w:rPr>
          <w:bCs/>
          <w:color w:val="000000" w:themeColor="text1"/>
          <w:sz w:val="24"/>
          <w:szCs w:val="24"/>
        </w:rPr>
        <w:t>3</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3C7A3F">
      <w:pPr>
        <w:pStyle w:val="Akapitzlist"/>
        <w:numPr>
          <w:ilvl w:val="0"/>
          <w:numId w:val="47"/>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7" w:name="_Toc200113167"/>
      <w:r w:rsidRPr="00211FC2">
        <w:t>T</w:t>
      </w:r>
      <w:r w:rsidR="00DB0EB4" w:rsidRPr="00211FC2">
        <w:t>yp projekt</w:t>
      </w:r>
      <w:r w:rsidR="002A4DCA" w:rsidRPr="00211FC2">
        <w:t>u</w:t>
      </w:r>
      <w:bookmarkEnd w:id="27"/>
    </w:p>
    <w:p w14:paraId="01E15076" w14:textId="7B89634D"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7D04DA" w:rsidRPr="007D04DA">
        <w:rPr>
          <w:b/>
          <w:bCs/>
          <w:color w:val="000000" w:themeColor="text1"/>
          <w:sz w:val="24"/>
          <w:szCs w:val="24"/>
        </w:rPr>
        <w:t>Lokalne inicjatywy na rzecz kształcenia osób dorosłych (na przykładzie LOWE) realizowane poza systemem BUR i PSF.</w:t>
      </w:r>
      <w:r w:rsidR="007D04DA">
        <w:rPr>
          <w:color w:val="000000" w:themeColor="text1"/>
          <w:sz w:val="24"/>
          <w:szCs w:val="24"/>
        </w:rPr>
        <w:t xml:space="preserve"> </w:t>
      </w:r>
    </w:p>
    <w:p w14:paraId="65361EA3" w14:textId="77777777" w:rsidR="00DB0EB4" w:rsidRPr="00211FC2" w:rsidRDefault="00DB0EB4" w:rsidP="00D9552A">
      <w:pPr>
        <w:pStyle w:val="Nagwek2"/>
      </w:pPr>
      <w:bookmarkStart w:id="28" w:name="_Toc200113168"/>
      <w:r w:rsidRPr="00211FC2">
        <w:lastRenderedPageBreak/>
        <w:t>Grupy docelowe</w:t>
      </w:r>
      <w:bookmarkEnd w:id="28"/>
    </w:p>
    <w:p w14:paraId="66BCC999" w14:textId="77777777" w:rsidR="001F6D85" w:rsidRPr="00211FC2" w:rsidRDefault="001F6D85" w:rsidP="003C7A3F">
      <w:pPr>
        <w:pStyle w:val="Akapitzlist"/>
        <w:numPr>
          <w:ilvl w:val="0"/>
          <w:numId w:val="57"/>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075B3362" w14:textId="294837FF" w:rsidR="00366B3F" w:rsidRPr="00366B3F" w:rsidRDefault="00366B3F" w:rsidP="00366B3F">
      <w:pPr>
        <w:pStyle w:val="Default"/>
        <w:spacing w:line="276" w:lineRule="auto"/>
        <w:ind w:left="425"/>
      </w:pPr>
      <w:r>
        <w:t xml:space="preserve">Zgodnie z kryterium szczególnym nr 1 </w:t>
      </w:r>
      <w:r w:rsidRPr="00366B3F">
        <w:t>Uczestnikami projektu są osoby dorosłe zamieszkujące na terenie województwa podlaskiego, w szczególności:</w:t>
      </w:r>
    </w:p>
    <w:p w14:paraId="50CEDB3E" w14:textId="77777777" w:rsidR="00366B3F" w:rsidRPr="00366B3F" w:rsidRDefault="00366B3F" w:rsidP="003C7A3F">
      <w:pPr>
        <w:pStyle w:val="Default"/>
        <w:numPr>
          <w:ilvl w:val="0"/>
          <w:numId w:val="109"/>
        </w:numPr>
        <w:spacing w:before="120"/>
        <w:ind w:hanging="153"/>
      </w:pPr>
      <w:r w:rsidRPr="00366B3F">
        <w:t xml:space="preserve">osoby starsze, </w:t>
      </w:r>
    </w:p>
    <w:p w14:paraId="2ABDB80C" w14:textId="77777777" w:rsidR="00366B3F" w:rsidRPr="00366B3F" w:rsidRDefault="00366B3F" w:rsidP="003C7A3F">
      <w:pPr>
        <w:pStyle w:val="Default"/>
        <w:numPr>
          <w:ilvl w:val="0"/>
          <w:numId w:val="109"/>
        </w:numPr>
        <w:spacing w:before="120"/>
        <w:ind w:hanging="153"/>
      </w:pPr>
      <w:r w:rsidRPr="00366B3F">
        <w:t xml:space="preserve">osoby o niskich kwalifikacjach, </w:t>
      </w:r>
    </w:p>
    <w:p w14:paraId="4A11FF23" w14:textId="77777777" w:rsidR="00366B3F" w:rsidRDefault="00366B3F" w:rsidP="003C7A3F">
      <w:pPr>
        <w:pStyle w:val="Default"/>
        <w:numPr>
          <w:ilvl w:val="0"/>
          <w:numId w:val="109"/>
        </w:numPr>
        <w:spacing w:before="120"/>
        <w:ind w:hanging="153"/>
      </w:pPr>
      <w:r w:rsidRPr="00366B3F">
        <w:t xml:space="preserve">osoby z niepełnosprawnościami, </w:t>
      </w:r>
    </w:p>
    <w:p w14:paraId="15B55AB3" w14:textId="6C77C6C9" w:rsidR="00342856" w:rsidRDefault="00366B3F" w:rsidP="003C7A3F">
      <w:pPr>
        <w:pStyle w:val="Default"/>
        <w:numPr>
          <w:ilvl w:val="0"/>
          <w:numId w:val="109"/>
        </w:numPr>
        <w:spacing w:before="120"/>
        <w:ind w:hanging="153"/>
      </w:pPr>
      <w:r w:rsidRPr="00366B3F">
        <w:t>osoby wykluczone cyfrowo.</w:t>
      </w:r>
    </w:p>
    <w:p w14:paraId="0B74AD85" w14:textId="752DC761" w:rsidR="00603427" w:rsidRDefault="00B50B3F" w:rsidP="00AA03F8">
      <w:pPr>
        <w:pStyle w:val="Default"/>
        <w:spacing w:before="120" w:after="120" w:line="276" w:lineRule="auto"/>
        <w:ind w:left="426"/>
        <w:contextualSpacing/>
      </w:pPr>
      <w:r w:rsidRPr="003D5B06">
        <w:rPr>
          <w:b/>
          <w:bCs/>
        </w:rPr>
        <w:t>Uwaga!</w:t>
      </w:r>
      <w:r>
        <w:t xml:space="preserve"> Wnioskodawca zobowiązany jest do określenia właściwych </w:t>
      </w:r>
      <w:r w:rsidRPr="00AA03F8">
        <w:rPr>
          <w:b/>
          <w:bCs/>
        </w:rPr>
        <w:t xml:space="preserve">wskaźników </w:t>
      </w:r>
      <w:r w:rsidR="003D5B06" w:rsidRPr="00AA03F8">
        <w:rPr>
          <w:b/>
          <w:bCs/>
        </w:rPr>
        <w:t xml:space="preserve">własnych </w:t>
      </w:r>
      <w:r w:rsidRPr="00AA03F8">
        <w:rPr>
          <w:b/>
          <w:bCs/>
        </w:rPr>
        <w:t>produktu</w:t>
      </w:r>
      <w:r w:rsidR="003D5B06">
        <w:t>,</w:t>
      </w:r>
      <w:r>
        <w:t xml:space="preserve"> odnoszących się do struktury grupy docelowej</w:t>
      </w:r>
      <w:r w:rsidR="003D5B06">
        <w:t xml:space="preserve">, </w:t>
      </w:r>
      <w:r w:rsidR="00603427" w:rsidRPr="00603427">
        <w:t xml:space="preserve">które nie są monitorowanie </w:t>
      </w:r>
      <w:r w:rsidR="00603427">
        <w:t xml:space="preserve">we wskaźnikach obowiązkowych, tj.: </w:t>
      </w:r>
    </w:p>
    <w:p w14:paraId="3B6C4B32" w14:textId="77777777" w:rsidR="00603427" w:rsidRPr="00603427" w:rsidRDefault="00603427" w:rsidP="00AA03F8">
      <w:pPr>
        <w:pStyle w:val="Default"/>
        <w:numPr>
          <w:ilvl w:val="0"/>
          <w:numId w:val="122"/>
        </w:numPr>
        <w:spacing w:before="120" w:after="120" w:line="276" w:lineRule="auto"/>
        <w:ind w:left="851" w:hanging="357"/>
        <w:contextualSpacing/>
      </w:pPr>
      <w:r w:rsidRPr="00603427">
        <w:t xml:space="preserve">Liczba osób starszych objętych wsparciem w projekcie; </w:t>
      </w:r>
    </w:p>
    <w:p w14:paraId="51AE2DE5" w14:textId="77777777" w:rsidR="00603427" w:rsidRDefault="00603427" w:rsidP="00AA03F8">
      <w:pPr>
        <w:pStyle w:val="Default"/>
        <w:numPr>
          <w:ilvl w:val="0"/>
          <w:numId w:val="122"/>
        </w:numPr>
        <w:spacing w:before="120" w:after="120" w:line="276" w:lineRule="auto"/>
        <w:ind w:left="851" w:hanging="357"/>
        <w:contextualSpacing/>
      </w:pPr>
      <w:r w:rsidRPr="00603427">
        <w:t xml:space="preserve">Liczba osób o niskich kwalifikacjach objętych wsparciem w projekcie; </w:t>
      </w:r>
    </w:p>
    <w:p w14:paraId="7628E511" w14:textId="3962A59B" w:rsidR="00603427" w:rsidRDefault="00603427" w:rsidP="00AA03F8">
      <w:pPr>
        <w:pStyle w:val="Default"/>
        <w:numPr>
          <w:ilvl w:val="0"/>
          <w:numId w:val="122"/>
        </w:numPr>
        <w:spacing w:before="120" w:after="120" w:line="276" w:lineRule="auto"/>
        <w:ind w:left="851" w:hanging="357"/>
        <w:contextualSpacing/>
      </w:pPr>
      <w:r w:rsidRPr="00603427">
        <w:t>Liczba osób wykluczonych cyfrowo objętych wsparciem w projekcie</w:t>
      </w:r>
      <w:r>
        <w:t>.</w:t>
      </w:r>
    </w:p>
    <w:p w14:paraId="2000BD58" w14:textId="51D21B81" w:rsidR="00B50B3F" w:rsidRPr="00AA03F8" w:rsidRDefault="00B75FFA" w:rsidP="00AA03F8">
      <w:pPr>
        <w:pStyle w:val="Default"/>
        <w:spacing w:before="120" w:after="120" w:line="276" w:lineRule="auto"/>
        <w:ind w:left="426"/>
        <w:contextualSpacing/>
        <w:rPr>
          <w:rFonts w:eastAsia="Times New Roman"/>
          <w:color w:val="000000" w:themeColor="text1"/>
          <w:spacing w:val="-1"/>
          <w:lang w:eastAsia="pl-PL"/>
        </w:rPr>
      </w:pPr>
      <w:r w:rsidRPr="00AA03F8">
        <w:rPr>
          <w:rFonts w:eastAsia="Times New Roman"/>
          <w:color w:val="000000" w:themeColor="text1"/>
          <w:spacing w:val="-1"/>
          <w:lang w:eastAsia="pl-PL"/>
        </w:rPr>
        <w:t xml:space="preserve">Sposób definiowania każdej z ww. grup został opisany w </w:t>
      </w:r>
      <w:r w:rsidR="00830E73" w:rsidRPr="00AA03F8">
        <w:rPr>
          <w:rFonts w:eastAsia="Times New Roman"/>
          <w:color w:val="000000" w:themeColor="text1"/>
          <w:spacing w:val="-1"/>
          <w:lang w:eastAsia="pl-PL"/>
        </w:rPr>
        <w:t>D</w:t>
      </w:r>
      <w:r w:rsidRPr="00AA03F8">
        <w:rPr>
          <w:rFonts w:eastAsia="Times New Roman"/>
          <w:color w:val="000000" w:themeColor="text1"/>
          <w:spacing w:val="-1"/>
          <w:lang w:eastAsia="pl-PL"/>
        </w:rPr>
        <w:t xml:space="preserve">efinicji kryterium szczególnego nr 1 </w:t>
      </w:r>
      <w:r w:rsidR="003D5B06" w:rsidRPr="00AA03F8">
        <w:rPr>
          <w:rFonts w:eastAsia="Times New Roman"/>
          <w:color w:val="000000" w:themeColor="text1"/>
          <w:spacing w:val="-1"/>
          <w:lang w:eastAsia="pl-PL"/>
        </w:rPr>
        <w:t>w Systematyce kryteriów dedykowanych stanowiąc</w:t>
      </w:r>
      <w:r w:rsidR="00830E73" w:rsidRPr="00AA03F8">
        <w:rPr>
          <w:rFonts w:eastAsia="Times New Roman"/>
          <w:color w:val="000000" w:themeColor="text1"/>
          <w:spacing w:val="-1"/>
          <w:lang w:eastAsia="pl-PL"/>
        </w:rPr>
        <w:t>ej</w:t>
      </w:r>
      <w:r w:rsidR="003D5B06" w:rsidRPr="00AA03F8">
        <w:rPr>
          <w:rFonts w:eastAsia="Times New Roman"/>
          <w:color w:val="000000" w:themeColor="text1"/>
          <w:spacing w:val="-1"/>
          <w:lang w:eastAsia="pl-PL"/>
        </w:rPr>
        <w:t xml:space="preserve"> </w:t>
      </w:r>
      <w:r w:rsidRPr="00AA03F8">
        <w:rPr>
          <w:rFonts w:eastAsia="Times New Roman"/>
          <w:color w:val="000000" w:themeColor="text1"/>
          <w:spacing w:val="-1"/>
          <w:lang w:eastAsia="pl-PL"/>
        </w:rPr>
        <w:t>Z</w:t>
      </w:r>
      <w:r w:rsidR="003D5B06" w:rsidRPr="00AA03F8">
        <w:rPr>
          <w:rFonts w:eastAsia="Times New Roman"/>
          <w:color w:val="000000" w:themeColor="text1"/>
          <w:spacing w:val="-1"/>
          <w:lang w:eastAsia="pl-PL"/>
        </w:rPr>
        <w:t>ałącznik</w:t>
      </w:r>
      <w:r w:rsid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nr</w:t>
      </w:r>
      <w:r w:rsidRP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5 do Regulaminu wyboru projektó</w:t>
      </w:r>
      <w:r w:rsidR="00603427" w:rsidRPr="00AA03F8">
        <w:rPr>
          <w:rFonts w:eastAsia="Times New Roman"/>
          <w:color w:val="000000" w:themeColor="text1"/>
          <w:spacing w:val="-1"/>
          <w:lang w:eastAsia="pl-PL"/>
        </w:rPr>
        <w:t xml:space="preserve">w. </w:t>
      </w:r>
      <w:r w:rsidR="003D5B06" w:rsidRPr="00AA03F8">
        <w:rPr>
          <w:rFonts w:eastAsia="Times New Roman"/>
          <w:color w:val="000000" w:themeColor="text1"/>
          <w:spacing w:val="-1"/>
          <w:lang w:eastAsia="pl-PL"/>
        </w:rPr>
        <w:t xml:space="preserve">Jednocześnie wnioskodawca zobowiązany jest do </w:t>
      </w:r>
      <w:r w:rsidR="00B51222" w:rsidRPr="00AA03F8">
        <w:rPr>
          <w:rFonts w:eastAsia="Times New Roman"/>
          <w:color w:val="000000" w:themeColor="text1"/>
          <w:spacing w:val="-1"/>
          <w:lang w:eastAsia="pl-PL"/>
        </w:rPr>
        <w:t xml:space="preserve">określenia sposobu pomiaru  oraz </w:t>
      </w:r>
      <w:r w:rsidR="00B50B3F" w:rsidRPr="00AA03F8">
        <w:rPr>
          <w:rFonts w:eastAsia="Times New Roman"/>
          <w:color w:val="000000" w:themeColor="text1"/>
          <w:spacing w:val="-1"/>
          <w:lang w:eastAsia="pl-PL"/>
        </w:rPr>
        <w:t xml:space="preserve">przypisania </w:t>
      </w:r>
      <w:r w:rsidR="003D5B06" w:rsidRPr="00AA03F8">
        <w:rPr>
          <w:rFonts w:eastAsia="Times New Roman"/>
          <w:color w:val="000000" w:themeColor="text1"/>
          <w:spacing w:val="-1"/>
          <w:lang w:eastAsia="pl-PL"/>
        </w:rPr>
        <w:t>ww. wskaźnikom</w:t>
      </w:r>
      <w:r w:rsidR="00B50B3F" w:rsidRPr="00AA03F8">
        <w:rPr>
          <w:rFonts w:eastAsia="Times New Roman"/>
          <w:color w:val="000000" w:themeColor="text1"/>
          <w:spacing w:val="-1"/>
          <w:lang w:eastAsia="pl-PL"/>
        </w:rPr>
        <w:t xml:space="preserve"> wartości docelowych</w:t>
      </w:r>
      <w:r w:rsidR="00B51222" w:rsidRPr="00AA03F8">
        <w:rPr>
          <w:rFonts w:eastAsia="Times New Roman"/>
          <w:color w:val="000000" w:themeColor="text1"/>
          <w:spacing w:val="-1"/>
          <w:lang w:eastAsia="pl-PL"/>
        </w:rPr>
        <w:t xml:space="preserve"> (wyłącznie w odniesieniu do wartości docelowej większej od 0) na podstawie przeprowadzonej diagnozy sytuacji problemowej, zgodnie ze strukturą grupy docelowej planowaną do objęcia wsparciem w ramach projektu</w:t>
      </w:r>
      <w:r w:rsidR="003D5B06" w:rsidRPr="00AA03F8">
        <w:rPr>
          <w:rFonts w:eastAsia="Times New Roman"/>
          <w:color w:val="000000" w:themeColor="text1"/>
          <w:spacing w:val="-1"/>
          <w:lang w:eastAsia="pl-PL"/>
        </w:rPr>
        <w:t>.</w:t>
      </w:r>
      <w:r w:rsidR="00B51222" w:rsidRPr="00AA03F8">
        <w:rPr>
          <w:rFonts w:eastAsia="Times New Roman"/>
          <w:color w:val="000000" w:themeColor="text1"/>
          <w:spacing w:val="-1"/>
          <w:lang w:eastAsia="pl-PL"/>
        </w:rPr>
        <w:t xml:space="preserve"> Nie należy określać wskaźników własnych z wartością docelową 0.</w:t>
      </w:r>
    </w:p>
    <w:p w14:paraId="3197A9E5" w14:textId="579B847C" w:rsidR="00DD21F2" w:rsidRPr="00211FC2"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3C7A3F">
      <w:pPr>
        <w:pStyle w:val="Akapitzlist"/>
        <w:numPr>
          <w:ilvl w:val="0"/>
          <w:numId w:val="57"/>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3C7A3F">
      <w:pPr>
        <w:pStyle w:val="Akapitzlist"/>
        <w:widowControl/>
        <w:numPr>
          <w:ilvl w:val="0"/>
          <w:numId w:val="110"/>
        </w:numPr>
        <w:spacing w:before="120" w:after="120" w:line="276" w:lineRule="auto"/>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3C7A3F">
      <w:pPr>
        <w:pStyle w:val="Akapitzlist"/>
        <w:widowControl/>
        <w:numPr>
          <w:ilvl w:val="0"/>
          <w:numId w:val="110"/>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5FB75748" w:rsidR="00080A3A" w:rsidRPr="00990B0D" w:rsidRDefault="00080A3A" w:rsidP="003C7A3F">
      <w:pPr>
        <w:pStyle w:val="Akapitzlist"/>
        <w:numPr>
          <w:ilvl w:val="0"/>
          <w:numId w:val="57"/>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16F1E83D" w14:textId="52656C4B"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 xml:space="preserve">Osoby zamieszkujące na terenie </w:t>
      </w:r>
      <w:r w:rsidR="00E13382" w:rsidRPr="00504F0A">
        <w:rPr>
          <w:rFonts w:eastAsiaTheme="minorHAnsi"/>
          <w:sz w:val="24"/>
          <w:szCs w:val="24"/>
          <w:lang w:eastAsia="en-US"/>
        </w:rPr>
        <w:t xml:space="preserve">gminy </w:t>
      </w:r>
      <w:r w:rsidRPr="00504F0A">
        <w:rPr>
          <w:rFonts w:eastAsiaTheme="minorHAnsi"/>
          <w:sz w:val="24"/>
          <w:szCs w:val="24"/>
          <w:lang w:eastAsia="en-US"/>
        </w:rPr>
        <w:t>województwa podlaskiego</w:t>
      </w:r>
      <w:r w:rsidR="00990B0D" w:rsidRPr="00504F0A">
        <w:rPr>
          <w:rFonts w:eastAsiaTheme="minorHAnsi"/>
          <w:sz w:val="24"/>
          <w:szCs w:val="24"/>
          <w:lang w:eastAsia="en-US"/>
        </w:rPr>
        <w:t>,</w:t>
      </w:r>
      <w:r w:rsidRPr="00504F0A">
        <w:rPr>
          <w:rFonts w:eastAsiaTheme="minorHAnsi"/>
          <w:sz w:val="24"/>
          <w:szCs w:val="24"/>
          <w:lang w:eastAsia="en-US"/>
        </w:rPr>
        <w:t xml:space="preserve"> </w:t>
      </w:r>
      <w:r w:rsidR="00E13382" w:rsidRPr="00504F0A">
        <w:rPr>
          <w:rFonts w:eastAsiaTheme="minorHAnsi"/>
          <w:sz w:val="24"/>
          <w:szCs w:val="24"/>
          <w:lang w:eastAsia="en-US"/>
        </w:rPr>
        <w:t>na której utworzony będzie LOWE</w:t>
      </w:r>
      <w:r w:rsidR="00990B0D" w:rsidRPr="00504F0A">
        <w:rPr>
          <w:rFonts w:eastAsiaTheme="minorHAnsi"/>
          <w:sz w:val="24"/>
          <w:szCs w:val="24"/>
          <w:lang w:eastAsia="en-US"/>
        </w:rPr>
        <w:t xml:space="preserve"> </w:t>
      </w:r>
      <w:r w:rsidRPr="00504F0A">
        <w:rPr>
          <w:rFonts w:eastAsiaTheme="minorHAnsi"/>
          <w:sz w:val="24"/>
          <w:szCs w:val="24"/>
          <w:lang w:eastAsia="en-US"/>
        </w:rPr>
        <w:t>–</w:t>
      </w:r>
      <w:r w:rsidR="00990B0D" w:rsidRPr="00504F0A">
        <w:rPr>
          <w:rFonts w:eastAsiaTheme="minorHAnsi"/>
          <w:sz w:val="24"/>
          <w:szCs w:val="24"/>
          <w:lang w:eastAsia="en-US"/>
        </w:rPr>
        <w:t xml:space="preserve"> </w:t>
      </w:r>
      <w:r w:rsidR="00504F0A" w:rsidRPr="00504F0A">
        <w:rPr>
          <w:rFonts w:eastAsiaTheme="minorHAnsi"/>
          <w:sz w:val="24"/>
          <w:szCs w:val="24"/>
          <w:lang w:eastAsia="en-US"/>
        </w:rPr>
        <w:t>oświadczenie potwierdzające zamieszkanie</w:t>
      </w:r>
      <w:r w:rsidRPr="00504F0A">
        <w:rPr>
          <w:rFonts w:eastAsiaTheme="minorHAnsi"/>
          <w:sz w:val="24"/>
          <w:szCs w:val="24"/>
          <w:lang w:eastAsia="en-US"/>
        </w:rPr>
        <w:t>;</w:t>
      </w:r>
    </w:p>
    <w:p w14:paraId="4F74DA17" w14:textId="1871EA0F"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dorosłe</w:t>
      </w:r>
      <w:r w:rsidR="00697146" w:rsidRPr="00504F0A">
        <w:rPr>
          <w:rFonts w:eastAsiaTheme="minorHAnsi"/>
          <w:sz w:val="24"/>
          <w:szCs w:val="24"/>
          <w:lang w:eastAsia="en-US"/>
        </w:rPr>
        <w:t>/starsze</w:t>
      </w:r>
      <w:r w:rsidRPr="00504F0A">
        <w:rPr>
          <w:rFonts w:eastAsiaTheme="minorHAnsi"/>
          <w:sz w:val="24"/>
          <w:szCs w:val="24"/>
          <w:lang w:eastAsia="en-US"/>
        </w:rPr>
        <w:t xml:space="preserv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 xml:space="preserve"> do wglądu;</w:t>
      </w:r>
    </w:p>
    <w:p w14:paraId="3B8E691B" w14:textId="4AB5BBBD"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o niskich kwalifikacjach –świadectwo ukończenia szkoły</w:t>
      </w:r>
      <w:r w:rsidR="00E34052" w:rsidRPr="00504F0A">
        <w:rPr>
          <w:rFonts w:eastAsiaTheme="minorHAnsi"/>
          <w:sz w:val="24"/>
          <w:szCs w:val="24"/>
          <w:lang w:eastAsia="en-US"/>
        </w:rPr>
        <w:t xml:space="preserve"> lub</w:t>
      </w:r>
      <w:r w:rsidRPr="00504F0A">
        <w:rPr>
          <w:rFonts w:eastAsiaTheme="minorHAnsi"/>
          <w:sz w:val="24"/>
          <w:szCs w:val="24"/>
          <w:lang w:eastAsia="en-US"/>
        </w:rPr>
        <w:t xml:space="preserve"> zaświadczenie z</w:t>
      </w:r>
      <w:r w:rsidR="00E13382" w:rsidRPr="00504F0A">
        <w:rPr>
          <w:rFonts w:eastAsiaTheme="minorHAnsi"/>
          <w:sz w:val="24"/>
          <w:szCs w:val="24"/>
          <w:lang w:eastAsia="en-US"/>
        </w:rPr>
        <w:t> </w:t>
      </w:r>
      <w:r w:rsidRPr="00504F0A">
        <w:rPr>
          <w:rFonts w:eastAsiaTheme="minorHAnsi"/>
          <w:sz w:val="24"/>
          <w:szCs w:val="24"/>
          <w:lang w:eastAsia="en-US"/>
        </w:rPr>
        <w:t>placówki o poziomie wykształcenia</w:t>
      </w:r>
      <w:r w:rsidR="00E34052" w:rsidRPr="00504F0A">
        <w:rPr>
          <w:rFonts w:eastAsiaTheme="minorHAnsi"/>
          <w:sz w:val="24"/>
          <w:szCs w:val="24"/>
          <w:lang w:eastAsia="en-US"/>
        </w:rPr>
        <w:t xml:space="preserve"> lub</w:t>
      </w:r>
      <w:r w:rsidR="009606BD" w:rsidRPr="00504F0A">
        <w:rPr>
          <w:rFonts w:eastAsiaTheme="minorHAnsi"/>
          <w:sz w:val="24"/>
          <w:szCs w:val="24"/>
          <w:lang w:eastAsia="en-US"/>
        </w:rPr>
        <w:t xml:space="preserve"> oświadczenie potwierdzające posiadanie kwalifikacji na poziomie nie wyższym niż 3. poziom ISCED (Międzynarodowa Standardowa Klasyfikacja Kształcenie)</w:t>
      </w:r>
      <w:r w:rsidR="001877CD" w:rsidRPr="00504F0A">
        <w:rPr>
          <w:rFonts w:eastAsiaTheme="minorHAnsi"/>
          <w:sz w:val="24"/>
          <w:szCs w:val="24"/>
          <w:lang w:eastAsia="en-US"/>
        </w:rPr>
        <w:t xml:space="preserve"> w przypadku braku formalnego dokumentu</w:t>
      </w:r>
      <w:r w:rsidR="009606BD" w:rsidRPr="00504F0A">
        <w:rPr>
          <w:rFonts w:eastAsiaTheme="minorHAnsi"/>
          <w:sz w:val="24"/>
          <w:szCs w:val="24"/>
          <w:lang w:eastAsia="en-US"/>
        </w:rPr>
        <w:t xml:space="preserve">, </w:t>
      </w:r>
    </w:p>
    <w:p w14:paraId="024D3B03" w14:textId="6CB59BC5"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z niepełnosprawnościami – orzeczenie</w:t>
      </w:r>
      <w:r w:rsidR="00697146" w:rsidRPr="00504F0A">
        <w:rPr>
          <w:rFonts w:eastAsiaTheme="minorHAnsi"/>
          <w:sz w:val="24"/>
          <w:szCs w:val="24"/>
          <w:lang w:eastAsia="en-US"/>
        </w:rPr>
        <w:t>/zaświadczenie</w:t>
      </w:r>
      <w:r w:rsidRPr="00504F0A">
        <w:rPr>
          <w:rFonts w:eastAsiaTheme="minorHAnsi"/>
          <w:sz w:val="24"/>
          <w:szCs w:val="24"/>
          <w:lang w:eastAsia="en-US"/>
        </w:rPr>
        <w:t xml:space="preserve"> o niepełnosprawności;</w:t>
      </w:r>
    </w:p>
    <w:p w14:paraId="60C8DA26" w14:textId="6F3246A3"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wykluczone cyfrow</w:t>
      </w:r>
      <w:r w:rsidR="00006CCA" w:rsidRPr="00504F0A">
        <w:rPr>
          <w:rFonts w:eastAsiaTheme="minorHAnsi"/>
          <w:sz w:val="24"/>
          <w:szCs w:val="24"/>
          <w:lang w:eastAsia="en-US"/>
        </w:rPr>
        <w:t>o</w:t>
      </w:r>
      <w:r w:rsidRPr="00504F0A">
        <w:rPr>
          <w:rFonts w:eastAsiaTheme="minorHAnsi"/>
          <w:sz w:val="24"/>
          <w:szCs w:val="24"/>
          <w:lang w:eastAsia="en-US"/>
        </w:rPr>
        <w:t xml:space="preserve"> – </w:t>
      </w:r>
      <w:r w:rsidR="00697146" w:rsidRPr="00504F0A">
        <w:rPr>
          <w:rFonts w:eastAsiaTheme="minorHAnsi"/>
          <w:sz w:val="24"/>
          <w:szCs w:val="24"/>
          <w:lang w:eastAsia="en-US"/>
        </w:rPr>
        <w:t xml:space="preserve">oświadczenie uczestnika o wykluczeniu cyfrowym, tj. braku dostępu do Internetu/ braku umiejętności posługiwania się komputerem i </w:t>
      </w:r>
      <w:r w:rsidR="00E13382" w:rsidRPr="00504F0A">
        <w:rPr>
          <w:rFonts w:eastAsiaTheme="minorHAnsi"/>
          <w:sz w:val="24"/>
          <w:szCs w:val="24"/>
          <w:lang w:eastAsia="en-US"/>
        </w:rPr>
        <w:t>/</w:t>
      </w:r>
      <w:r w:rsidR="00697146" w:rsidRPr="00504F0A">
        <w:rPr>
          <w:rFonts w:eastAsiaTheme="minorHAnsi"/>
          <w:sz w:val="24"/>
          <w:szCs w:val="24"/>
          <w:lang w:eastAsia="en-US"/>
        </w:rPr>
        <w:t xml:space="preserve">lub Internetem, </w:t>
      </w:r>
      <w:r w:rsidR="00E34052" w:rsidRPr="00504F0A">
        <w:rPr>
          <w:rFonts w:eastAsiaTheme="minorHAnsi"/>
          <w:sz w:val="24"/>
          <w:szCs w:val="24"/>
          <w:lang w:eastAsia="en-US"/>
        </w:rPr>
        <w:t xml:space="preserve">i/lub oświadczenie o </w:t>
      </w:r>
      <w:r w:rsidR="00EC3C95" w:rsidRPr="00504F0A">
        <w:rPr>
          <w:rFonts w:eastAsiaTheme="minorHAnsi"/>
          <w:sz w:val="24"/>
          <w:szCs w:val="24"/>
          <w:lang w:eastAsia="en-US"/>
        </w:rPr>
        <w:t>brak</w:t>
      </w:r>
      <w:r w:rsidR="00E34052" w:rsidRPr="00504F0A">
        <w:rPr>
          <w:rFonts w:eastAsiaTheme="minorHAnsi"/>
          <w:sz w:val="24"/>
          <w:szCs w:val="24"/>
          <w:lang w:eastAsia="en-US"/>
        </w:rPr>
        <w:t>u</w:t>
      </w:r>
      <w:r w:rsidR="00EC3C95" w:rsidRPr="00504F0A">
        <w:rPr>
          <w:rFonts w:eastAsiaTheme="minorHAnsi"/>
          <w:sz w:val="24"/>
          <w:szCs w:val="24"/>
          <w:lang w:eastAsia="en-US"/>
        </w:rPr>
        <w:t xml:space="preserve"> znajomości języka</w:t>
      </w:r>
      <w:r w:rsidR="003C5CD2" w:rsidRPr="00504F0A">
        <w:rPr>
          <w:rFonts w:eastAsiaTheme="minorHAnsi"/>
          <w:sz w:val="24"/>
          <w:szCs w:val="24"/>
          <w:lang w:eastAsia="en-US"/>
        </w:rPr>
        <w:t>,</w:t>
      </w:r>
      <w:r w:rsidR="00EC3C95" w:rsidRPr="00504F0A">
        <w:rPr>
          <w:rFonts w:eastAsiaTheme="minorHAnsi"/>
          <w:sz w:val="24"/>
          <w:szCs w:val="24"/>
          <w:lang w:eastAsia="en-US"/>
        </w:rPr>
        <w:t xml:space="preserve"> w którym potrzebne informacje występują</w:t>
      </w:r>
      <w:r w:rsidR="00E34052" w:rsidRPr="00504F0A">
        <w:rPr>
          <w:rFonts w:eastAsiaTheme="minorHAnsi"/>
          <w:sz w:val="24"/>
          <w:szCs w:val="24"/>
          <w:lang w:eastAsia="en-US"/>
        </w:rPr>
        <w:t xml:space="preserve"> i/lub </w:t>
      </w:r>
      <w:r w:rsidR="001877CD" w:rsidRPr="00504F0A">
        <w:rPr>
          <w:rFonts w:eastAsiaTheme="minorHAnsi"/>
          <w:sz w:val="24"/>
          <w:szCs w:val="24"/>
          <w:lang w:eastAsia="en-US"/>
        </w:rPr>
        <w:t xml:space="preserve">umowa na dostawę usług Internetowych </w:t>
      </w:r>
      <w:r w:rsidR="00697146" w:rsidRPr="00504F0A">
        <w:rPr>
          <w:rFonts w:eastAsiaTheme="minorHAnsi"/>
          <w:sz w:val="24"/>
          <w:szCs w:val="24"/>
          <w:lang w:eastAsia="en-US"/>
        </w:rPr>
        <w:t>potwierdzając</w:t>
      </w:r>
      <w:r w:rsidR="001877CD" w:rsidRPr="00504F0A">
        <w:rPr>
          <w:rFonts w:eastAsiaTheme="minorHAnsi"/>
          <w:sz w:val="24"/>
          <w:szCs w:val="24"/>
          <w:lang w:eastAsia="en-US"/>
        </w:rPr>
        <w:t>a</w:t>
      </w:r>
      <w:r w:rsidR="00697146" w:rsidRPr="00504F0A">
        <w:rPr>
          <w:rFonts w:eastAsiaTheme="minorHAnsi"/>
          <w:sz w:val="24"/>
          <w:szCs w:val="24"/>
          <w:lang w:eastAsia="en-US"/>
        </w:rPr>
        <w:t xml:space="preserve"> niską prędkość łącza</w:t>
      </w:r>
      <w:r w:rsidR="00990B0D" w:rsidRPr="00504F0A">
        <w:rPr>
          <w:rFonts w:eastAsiaTheme="minorHAnsi"/>
          <w:sz w:val="24"/>
          <w:szCs w:val="24"/>
          <w:lang w:eastAsia="en-US"/>
        </w:rPr>
        <w:t>.</w:t>
      </w:r>
    </w:p>
    <w:p w14:paraId="474CEDDB" w14:textId="3D0F5185" w:rsidR="00A27FC7" w:rsidRPr="001C73C2" w:rsidRDefault="00A27FC7" w:rsidP="003C7A3F">
      <w:pPr>
        <w:pStyle w:val="Akapitzlist"/>
        <w:numPr>
          <w:ilvl w:val="0"/>
          <w:numId w:val="57"/>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lastRenderedPageBreak/>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29" w:name="_Toc200113169"/>
      <w:r w:rsidRPr="00211FC2">
        <w:rPr>
          <w:spacing w:val="-2"/>
        </w:rPr>
        <w:t>Warunki realizacji projektów</w:t>
      </w:r>
      <w:bookmarkEnd w:id="29"/>
    </w:p>
    <w:p w14:paraId="71FF9657" w14:textId="55E957F6" w:rsidR="0017216A" w:rsidRPr="006C42F6" w:rsidRDefault="001E0CD7" w:rsidP="0017216A">
      <w:pPr>
        <w:pStyle w:val="Nagwek3"/>
      </w:pPr>
      <w:bookmarkStart w:id="30" w:name="_Toc200113170"/>
      <w:r w:rsidRPr="006C42F6">
        <w:t xml:space="preserve">Obowiązkowe </w:t>
      </w:r>
      <w:r w:rsidR="00782B94" w:rsidRPr="006C42F6">
        <w:t xml:space="preserve">warunki </w:t>
      </w:r>
      <w:r w:rsidRPr="006C42F6">
        <w:t>realizacji projektów</w:t>
      </w:r>
      <w:bookmarkEnd w:id="30"/>
    </w:p>
    <w:p w14:paraId="0F45424C" w14:textId="7ABF382B" w:rsidR="00366B3F" w:rsidRDefault="00366B3F" w:rsidP="003C7A3F">
      <w:pPr>
        <w:pStyle w:val="Akapitzlist"/>
        <w:numPr>
          <w:ilvl w:val="0"/>
          <w:numId w:val="91"/>
        </w:numPr>
        <w:spacing w:after="120" w:line="276" w:lineRule="auto"/>
        <w:ind w:left="425" w:hanging="426"/>
        <w:contextualSpacing w:val="0"/>
        <w:rPr>
          <w:color w:val="000000" w:themeColor="text1"/>
          <w:sz w:val="24"/>
          <w:szCs w:val="24"/>
        </w:rPr>
      </w:pPr>
      <w:bookmarkStart w:id="31"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3D3EC45" w14:textId="61D24CCE" w:rsidR="001C40BF" w:rsidRPr="001C40BF" w:rsidRDefault="00B53643" w:rsidP="003C7A3F">
      <w:pPr>
        <w:pStyle w:val="Akapitzlist"/>
        <w:numPr>
          <w:ilvl w:val="0"/>
          <w:numId w:val="91"/>
        </w:numPr>
        <w:spacing w:after="120" w:line="276" w:lineRule="auto"/>
        <w:ind w:left="425"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Pr="00BC567B">
        <w:rPr>
          <w:color w:val="000000" w:themeColor="text1"/>
          <w:sz w:val="24"/>
          <w:szCs w:val="24"/>
        </w:rPr>
        <w:t xml:space="preserve"> </w:t>
      </w:r>
      <w:bookmarkEnd w:id="31"/>
      <w:r w:rsidR="001C40BF" w:rsidRPr="001C40BF">
        <w:rPr>
          <w:color w:val="000000" w:themeColor="text1"/>
          <w:sz w:val="24"/>
          <w:szCs w:val="24"/>
        </w:rPr>
        <w:t>Uczestnikami projektu są osoby dorosłe zamieszkujące na terenie województwa podlaskiego, w szczególności:</w:t>
      </w:r>
    </w:p>
    <w:p w14:paraId="241BFE97"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starsze, </w:t>
      </w:r>
    </w:p>
    <w:p w14:paraId="6102B381"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o niskich kwalifikacjach, </w:t>
      </w:r>
    </w:p>
    <w:p w14:paraId="293B1F60" w14:textId="77777777" w:rsid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z niepełnosprawnościami, </w:t>
      </w:r>
    </w:p>
    <w:p w14:paraId="7D8168A4" w14:textId="660EFEC7" w:rsidR="00B53643"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osoby wykluczone cyfrowo.</w:t>
      </w:r>
    </w:p>
    <w:p w14:paraId="3913BCA7" w14:textId="77777777" w:rsidR="001C40BF" w:rsidRDefault="00620A10" w:rsidP="001C40BF">
      <w:pPr>
        <w:pStyle w:val="Akapitzlist"/>
        <w:spacing w:before="120" w:after="120" w:line="276" w:lineRule="auto"/>
        <w:ind w:left="425"/>
        <w:contextualSpacing w:val="0"/>
        <w:rPr>
          <w:color w:val="000000" w:themeColor="text1"/>
          <w:sz w:val="24"/>
          <w:szCs w:val="24"/>
        </w:rPr>
      </w:pPr>
      <w:r w:rsidRPr="00620A10">
        <w:rPr>
          <w:color w:val="000000" w:themeColor="text1"/>
          <w:sz w:val="24"/>
          <w:szCs w:val="24"/>
        </w:rPr>
        <w:t xml:space="preserve">Kryterium ma na celu </w:t>
      </w:r>
      <w:r w:rsidR="001C40BF" w:rsidRPr="001C40BF">
        <w:rPr>
          <w:color w:val="000000" w:themeColor="text1"/>
          <w:sz w:val="24"/>
          <w:szCs w:val="24"/>
        </w:rPr>
        <w:t xml:space="preserve">objęcie wsparciem grupy osób, do których kierowane mogą być działania w ramach projektu, zgodnie z założeniami Programu Fundusze Europejskie dla Podlaskiego 2021-2027. Uczestnikami projektu są osoby zamieszkujące na terenie województwa podlaskiego zgodnie z zapisami Kodeksu cywilnego. </w:t>
      </w:r>
    </w:p>
    <w:p w14:paraId="0EB5A405" w14:textId="5F6209B1" w:rsidR="001C40BF" w:rsidRPr="001C40BF" w:rsidRDefault="001C40BF" w:rsidP="001C40BF">
      <w:pPr>
        <w:pStyle w:val="Akapitzlist"/>
        <w:spacing w:before="120" w:after="120" w:line="276" w:lineRule="auto"/>
        <w:ind w:left="425"/>
        <w:contextualSpacing w:val="0"/>
        <w:rPr>
          <w:color w:val="000000" w:themeColor="text1"/>
          <w:sz w:val="24"/>
          <w:szCs w:val="24"/>
        </w:rPr>
      </w:pPr>
      <w:r w:rsidRPr="001C40BF">
        <w:rPr>
          <w:bCs/>
          <w:color w:val="000000" w:themeColor="text1"/>
          <w:sz w:val="24"/>
          <w:szCs w:val="24"/>
        </w:rPr>
        <w:t>Osoby dorosłe to osoby w wieku 18 lat i więcej, tj. od dnia, w którym przypadają 18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69620BC9" w14:textId="3C3DA26E" w:rsidR="001C40BF" w:rsidRP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Osoby starsze to osoby w wieku 65 lat i więcej, tj. od dnia, w którym przypadają 65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716B1228" w14:textId="77777777" w:rsid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 xml:space="preserve">Osoby o niskich kwalifikacjach to osoby z najniższym wykształceniem,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5A3EDEF8" w14:textId="77777777" w:rsidR="001C40BF" w:rsidRPr="001C40BF" w:rsidRDefault="001C40BF" w:rsidP="001C40BF">
      <w:pPr>
        <w:pStyle w:val="Akapitzlist"/>
        <w:spacing w:after="120"/>
        <w:ind w:left="425"/>
        <w:rPr>
          <w:bCs/>
          <w:color w:val="000000" w:themeColor="text1"/>
          <w:sz w:val="24"/>
          <w:szCs w:val="24"/>
        </w:rPr>
      </w:pPr>
      <w:r w:rsidRPr="001C40BF">
        <w:rPr>
          <w:bCs/>
          <w:color w:val="000000" w:themeColor="text1"/>
          <w:sz w:val="24"/>
          <w:szCs w:val="24"/>
        </w:rPr>
        <w:t xml:space="preserve">Osoby z niepełnosprawnościami to: </w:t>
      </w:r>
    </w:p>
    <w:p w14:paraId="38FCC595" w14:textId="7EBCADE1" w:rsidR="001C40BF" w:rsidRPr="001C40BF" w:rsidRDefault="001C40BF" w:rsidP="003C7A3F">
      <w:pPr>
        <w:pStyle w:val="Akapitzlist"/>
        <w:numPr>
          <w:ilvl w:val="0"/>
          <w:numId w:val="115"/>
        </w:numPr>
        <w:spacing w:before="120" w:after="120"/>
        <w:contextualSpacing w:val="0"/>
        <w:rPr>
          <w:bCs/>
          <w:color w:val="000000" w:themeColor="text1"/>
          <w:sz w:val="24"/>
          <w:szCs w:val="24"/>
        </w:rPr>
      </w:pPr>
      <w:r w:rsidRPr="001C40BF">
        <w:rPr>
          <w:bCs/>
          <w:color w:val="000000" w:themeColor="text1"/>
          <w:sz w:val="24"/>
          <w:szCs w:val="24"/>
        </w:rPr>
        <w:t>osoby niepełnosprawne w rozumieniu ustawy z dnia 27 sierpnia 1997 r. o</w:t>
      </w:r>
      <w:r w:rsidR="006C42F6">
        <w:rPr>
          <w:bCs/>
          <w:color w:val="000000" w:themeColor="text1"/>
          <w:sz w:val="24"/>
          <w:szCs w:val="24"/>
        </w:rPr>
        <w:t> </w:t>
      </w:r>
      <w:r w:rsidRPr="001C40BF">
        <w:rPr>
          <w:bCs/>
          <w:color w:val="000000" w:themeColor="text1"/>
          <w:sz w:val="24"/>
          <w:szCs w:val="24"/>
        </w:rPr>
        <w:t xml:space="preserve">rehabilitacji zawodowej i społecznej oraz zatrudnianiu osób niepełnosprawnych (Dz. U. z 2021 r. poz. 573, z </w:t>
      </w:r>
      <w:proofErr w:type="spellStart"/>
      <w:r w:rsidRPr="001C40BF">
        <w:rPr>
          <w:bCs/>
          <w:color w:val="000000" w:themeColor="text1"/>
          <w:sz w:val="24"/>
          <w:szCs w:val="24"/>
        </w:rPr>
        <w:t>późn</w:t>
      </w:r>
      <w:proofErr w:type="spellEnd"/>
      <w:r w:rsidRPr="001C40BF">
        <w:rPr>
          <w:bCs/>
          <w:color w:val="000000" w:themeColor="text1"/>
          <w:sz w:val="24"/>
          <w:szCs w:val="24"/>
        </w:rPr>
        <w:t>. zm.),</w:t>
      </w:r>
    </w:p>
    <w:p w14:paraId="5434B7C6" w14:textId="77777777" w:rsidR="001C40BF" w:rsidRPr="001C40BF" w:rsidRDefault="001C40BF" w:rsidP="003C7A3F">
      <w:pPr>
        <w:pStyle w:val="Akapitzlist"/>
        <w:numPr>
          <w:ilvl w:val="0"/>
          <w:numId w:val="115"/>
        </w:numPr>
        <w:spacing w:after="120"/>
        <w:contextualSpacing w:val="0"/>
        <w:rPr>
          <w:bCs/>
          <w:color w:val="000000" w:themeColor="text1"/>
          <w:sz w:val="24"/>
          <w:szCs w:val="24"/>
        </w:rPr>
      </w:pPr>
      <w:r w:rsidRPr="001C40BF">
        <w:rPr>
          <w:bCs/>
          <w:color w:val="000000" w:themeColor="text1"/>
          <w:sz w:val="24"/>
          <w:szCs w:val="24"/>
        </w:rPr>
        <w:lastRenderedPageBreak/>
        <w:t>osoby z zaburzeniami psychicznymi w rozumieniu ustawy z dnia 19 sierpnia 1994 r. o ochronie zdrowia psychicznego (Dz. U. z 2022 r. poz. 2123).</w:t>
      </w:r>
    </w:p>
    <w:p w14:paraId="057B0E2F" w14:textId="77777777" w:rsidR="001C40BF" w:rsidRPr="001C40BF" w:rsidRDefault="001C40BF" w:rsidP="001C40BF">
      <w:pPr>
        <w:pStyle w:val="Akapitzlist"/>
        <w:spacing w:after="120"/>
        <w:ind w:left="425"/>
        <w:contextualSpacing w:val="0"/>
        <w:rPr>
          <w:bCs/>
          <w:color w:val="000000" w:themeColor="text1"/>
          <w:sz w:val="24"/>
          <w:szCs w:val="24"/>
        </w:rPr>
      </w:pPr>
      <w:r w:rsidRPr="001C40BF">
        <w:rPr>
          <w:bCs/>
          <w:color w:val="000000" w:themeColor="text1"/>
          <w:sz w:val="24"/>
          <w:szCs w:val="24"/>
        </w:rPr>
        <w:t xml:space="preserve">Osoby wykluczone cyfrowo to osoby nieposiadające dostępu do sieci internetowej i nowoczesnych form komunikacji. Termin wykluczenia cyfrowego nie sprowadza się tylko do możliwości dostępu do </w:t>
      </w:r>
      <w:proofErr w:type="spellStart"/>
      <w:r w:rsidRPr="001C40BF">
        <w:rPr>
          <w:bCs/>
          <w:color w:val="000000" w:themeColor="text1"/>
          <w:sz w:val="24"/>
          <w:szCs w:val="24"/>
        </w:rPr>
        <w:t>internetu</w:t>
      </w:r>
      <w:proofErr w:type="spellEnd"/>
      <w:r w:rsidRPr="001C40BF">
        <w:rPr>
          <w:bCs/>
          <w:color w:val="000000" w:themeColor="text1"/>
          <w:sz w:val="24"/>
          <w:szCs w:val="24"/>
        </w:rPr>
        <w:t>. Oprócz tego ważne są czynniki takie jak:</w:t>
      </w:r>
    </w:p>
    <w:p w14:paraId="5CDBE016"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brak umiejętności posługiwania się komputerem (zwłaszcza wśród osób starszych),</w:t>
      </w:r>
    </w:p>
    <w:p w14:paraId="7A30A2FA"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 xml:space="preserve">brak umiejętność posługiwania się </w:t>
      </w:r>
      <w:proofErr w:type="spellStart"/>
      <w:r w:rsidRPr="001C40BF">
        <w:rPr>
          <w:bCs/>
          <w:color w:val="000000" w:themeColor="text1"/>
          <w:sz w:val="24"/>
          <w:szCs w:val="24"/>
        </w:rPr>
        <w:t>internetem</w:t>
      </w:r>
      <w:proofErr w:type="spellEnd"/>
      <w:r w:rsidRPr="001C40BF">
        <w:rPr>
          <w:bCs/>
          <w:color w:val="000000" w:themeColor="text1"/>
          <w:sz w:val="24"/>
          <w:szCs w:val="24"/>
        </w:rPr>
        <w:t>,</w:t>
      </w:r>
    </w:p>
    <w:p w14:paraId="36E93BBE" w14:textId="32488633"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jakość połączenia tj. niska prędkość łącza (szczególnie w małych miastach i</w:t>
      </w:r>
      <w:r w:rsidR="006C42F6">
        <w:rPr>
          <w:bCs/>
          <w:color w:val="000000" w:themeColor="text1"/>
          <w:sz w:val="24"/>
          <w:szCs w:val="24"/>
        </w:rPr>
        <w:t> </w:t>
      </w:r>
      <w:r w:rsidRPr="001C40BF">
        <w:rPr>
          <w:bCs/>
          <w:color w:val="000000" w:themeColor="text1"/>
          <w:sz w:val="24"/>
          <w:szCs w:val="24"/>
        </w:rPr>
        <w:t>na wsi),</w:t>
      </w:r>
    </w:p>
    <w:p w14:paraId="58FA4F2C" w14:textId="13296171" w:rsidR="00661BA1"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wymiar językowy tj. brak znajomości języka, w którym potrzebne informacje występują.</w:t>
      </w:r>
    </w:p>
    <w:p w14:paraId="1ACC60C4" w14:textId="72791C02"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1C40BF" w:rsidRPr="001C40BF">
        <w:rPr>
          <w:color w:val="000000" w:themeColor="text1"/>
          <w:sz w:val="24"/>
          <w:szCs w:val="24"/>
        </w:rPr>
        <w:t>Wnioskodawcą lub Partnerem jest organ prowadzący szkołę lub placówkę systemu oświaty w województwie podlaskim, w której utworzony jest lub planuje się utworzyć LOWE.</w:t>
      </w:r>
      <w:r w:rsidR="001C40BF">
        <w:rPr>
          <w:color w:val="000000" w:themeColor="text1"/>
          <w:sz w:val="24"/>
          <w:szCs w:val="24"/>
        </w:rPr>
        <w:t xml:space="preserve"> </w:t>
      </w:r>
    </w:p>
    <w:p w14:paraId="46C74C91" w14:textId="77777777" w:rsidR="006C42F6" w:rsidRDefault="001C40BF" w:rsidP="006C42F6">
      <w:pPr>
        <w:pStyle w:val="Akapitzlist"/>
        <w:spacing w:after="120" w:line="276" w:lineRule="auto"/>
        <w:ind w:left="425"/>
        <w:contextualSpacing w:val="0"/>
        <w:rPr>
          <w:color w:val="000000" w:themeColor="text1"/>
          <w:sz w:val="24"/>
          <w:szCs w:val="24"/>
        </w:rPr>
      </w:pPr>
      <w:r w:rsidRPr="001C40BF">
        <w:rPr>
          <w:color w:val="000000" w:themeColor="text1"/>
          <w:sz w:val="24"/>
          <w:szCs w:val="24"/>
        </w:rPr>
        <w:t>Wnioskodawcą lub Partnerem musi być organ prowadzący szkołę w rozumieniu ustawy o systemie oświaty, w której funkcjonuje lub ma zostać utworzony LOWE. Wnioskodawca/Partner oświadcza, że jest organem prowadzącym szkołę, w</w:t>
      </w:r>
      <w:r w:rsidR="006C42F6">
        <w:rPr>
          <w:color w:val="000000" w:themeColor="text1"/>
          <w:sz w:val="24"/>
          <w:szCs w:val="24"/>
        </w:rPr>
        <w:t> </w:t>
      </w:r>
      <w:r w:rsidRPr="001C40BF">
        <w:rPr>
          <w:color w:val="000000" w:themeColor="text1"/>
          <w:sz w:val="24"/>
          <w:szCs w:val="24"/>
        </w:rPr>
        <w:t xml:space="preserve">której funkcjonuje lub ma zostać utworzony LOWE. </w:t>
      </w:r>
      <w:r w:rsidRPr="006C42F6">
        <w:rPr>
          <w:color w:val="000000" w:themeColor="text1"/>
          <w:sz w:val="24"/>
          <w:szCs w:val="24"/>
        </w:rPr>
        <w:t>LOWE obligatoryjnie musi być utworzony przy szkole. Kryterium wynika z doświadczeń zebranych w</w:t>
      </w:r>
      <w:r w:rsidR="006C42F6">
        <w:rPr>
          <w:color w:val="000000" w:themeColor="text1"/>
          <w:sz w:val="24"/>
          <w:szCs w:val="24"/>
        </w:rPr>
        <w:t> </w:t>
      </w:r>
      <w:r w:rsidRPr="006C42F6">
        <w:rPr>
          <w:color w:val="000000" w:themeColor="text1"/>
          <w:sz w:val="24"/>
          <w:szCs w:val="24"/>
        </w:rPr>
        <w:t>ramach pilotażu funkcjonowania LOWE, podsumowanych w dokumencie „Model funkcjonowania LOWE (Lokalnych Ośrodków Wiedzy i Edukacji) w</w:t>
      </w:r>
      <w:r w:rsidR="006C42F6">
        <w:rPr>
          <w:color w:val="000000" w:themeColor="text1"/>
          <w:sz w:val="24"/>
          <w:szCs w:val="24"/>
        </w:rPr>
        <w:t> </w:t>
      </w:r>
      <w:r w:rsidRPr="006C42F6">
        <w:rPr>
          <w:color w:val="000000" w:themeColor="text1"/>
          <w:sz w:val="24"/>
          <w:szCs w:val="24"/>
        </w:rPr>
        <w:t>drugim etapie ich rozwoju w latach 2019-2023”.</w:t>
      </w:r>
    </w:p>
    <w:p w14:paraId="232D40BD" w14:textId="50524004" w:rsidR="001C40BF" w:rsidRPr="006C42F6" w:rsidRDefault="001C40BF" w:rsidP="006C42F6">
      <w:pPr>
        <w:pStyle w:val="Akapitzlist"/>
        <w:spacing w:after="120" w:line="276" w:lineRule="auto"/>
        <w:ind w:left="425"/>
        <w:contextualSpacing w:val="0"/>
        <w:rPr>
          <w:color w:val="000000" w:themeColor="text1"/>
          <w:sz w:val="24"/>
          <w:szCs w:val="24"/>
        </w:rPr>
      </w:pPr>
      <w:r w:rsidRPr="006C42F6">
        <w:rPr>
          <w:color w:val="000000" w:themeColor="text1"/>
          <w:sz w:val="24"/>
          <w:szCs w:val="24"/>
        </w:rPr>
        <w:t>W ramach jednego projektu  organ prowadzący szkołę może utworzyć jeden LOWE z zastrzeżeniem, że LOWE w gminach wiejskich z racji niewielkiej społeczności powinno obejmować możliwie cały obszar gminy. LOWE może być usytuowane w jednej ze szkół lub w jednej z miejscowości i jednocześnie współpracować z pozostałymi.</w:t>
      </w:r>
    </w:p>
    <w:p w14:paraId="5DDDE77F" w14:textId="77777777"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1C40BF" w:rsidRPr="001C40BF">
        <w:rPr>
          <w:color w:val="000000" w:themeColor="text1"/>
          <w:sz w:val="24"/>
          <w:szCs w:val="24"/>
        </w:rPr>
        <w:t>w ramach jednego projektu może być utworzony tylko jeden nowy LOWE lub może być udzielone wsparcie wyłącznie dla jednego istniejącego LOWE.</w:t>
      </w:r>
    </w:p>
    <w:p w14:paraId="5187B004" w14:textId="7DD134A7" w:rsidR="001C40BF" w:rsidRDefault="00502DBC"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C40BF" w:rsidRPr="001C40BF">
        <w:rPr>
          <w:color w:val="000000" w:themeColor="text1"/>
          <w:sz w:val="24"/>
          <w:szCs w:val="24"/>
          <w:lang w:bidi="pl-PL"/>
        </w:rPr>
        <w:t>Działania projektu opierają się o model „Lokalnych Ośrodków Wiedzy i Edukacji (LOWE)”, wypracowany w PO WER.</w:t>
      </w:r>
    </w:p>
    <w:p w14:paraId="0A855BDA" w14:textId="22E3354E" w:rsidR="001C40BF" w:rsidRPr="001C40BF" w:rsidRDefault="001C40BF" w:rsidP="00D60E1B">
      <w:pPr>
        <w:pStyle w:val="Akapitzlist"/>
        <w:spacing w:after="120" w:line="276" w:lineRule="auto"/>
        <w:ind w:left="426"/>
        <w:contextualSpacing w:val="0"/>
        <w:rPr>
          <w:color w:val="000000" w:themeColor="text1"/>
          <w:sz w:val="24"/>
          <w:szCs w:val="24"/>
        </w:rPr>
      </w:pPr>
      <w:r w:rsidRPr="001C40BF">
        <w:rPr>
          <w:color w:val="000000" w:themeColor="text1"/>
          <w:sz w:val="24"/>
          <w:szCs w:val="24"/>
        </w:rPr>
        <w:t>Zgodnie z zapisami „Wytycznych dotyczących realizacji projektów z udziałem środków Europejskiego Funduszu Społecznego Plus w regionalnych programach na lata 2021 – 2027” działania przewidziane w projekcie muszą opierać się o</w:t>
      </w:r>
      <w:r w:rsidR="003C5CD2">
        <w:rPr>
          <w:color w:val="000000" w:themeColor="text1"/>
          <w:sz w:val="24"/>
          <w:szCs w:val="24"/>
        </w:rPr>
        <w:t> </w:t>
      </w:r>
      <w:r w:rsidRPr="001C40BF">
        <w:rPr>
          <w:color w:val="000000" w:themeColor="text1"/>
          <w:sz w:val="24"/>
          <w:szCs w:val="24"/>
        </w:rPr>
        <w:t xml:space="preserve">model LOWE wypracowany w PO WER, dostępny na stronie internetowej: </w:t>
      </w:r>
      <w:hyperlink r:id="rId15" w:history="1">
        <w:r w:rsidRPr="00D60E1B">
          <w:rPr>
            <w:rStyle w:val="Hipercze"/>
            <w:sz w:val="24"/>
            <w:szCs w:val="24"/>
          </w:rPr>
          <w:t>https://efs-archiwum.men.gov.pl/wp-content/uploads/2023/10/Model_funkcjonowania_LOWE.pdf</w:t>
        </w:r>
      </w:hyperlink>
    </w:p>
    <w:p w14:paraId="628BB484" w14:textId="4E63D99C" w:rsidR="00F56D41" w:rsidRPr="00D60E1B" w:rsidRDefault="00FB1F3B" w:rsidP="003C7A3F">
      <w:pPr>
        <w:pStyle w:val="Akapitzlist"/>
        <w:numPr>
          <w:ilvl w:val="0"/>
          <w:numId w:val="91"/>
        </w:numPr>
        <w:spacing w:after="120" w:line="276" w:lineRule="auto"/>
        <w:ind w:left="425" w:hanging="357"/>
        <w:contextualSpacing w:val="0"/>
        <w:rPr>
          <w:rFonts w:cs="Calibri"/>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D60E1B">
        <w:rPr>
          <w:color w:val="000000" w:themeColor="text1"/>
          <w:sz w:val="24"/>
          <w:szCs w:val="24"/>
        </w:rPr>
        <w:t>d</w:t>
      </w:r>
      <w:r w:rsidR="00D60E1B" w:rsidRPr="00D60E1B">
        <w:rPr>
          <w:color w:val="000000" w:themeColor="text1"/>
          <w:sz w:val="24"/>
          <w:szCs w:val="24"/>
        </w:rPr>
        <w:t xml:space="preserve">ziałania podejmowane w ramach </w:t>
      </w:r>
      <w:r w:rsidR="00D60E1B" w:rsidRPr="00D60E1B">
        <w:rPr>
          <w:color w:val="000000" w:themeColor="text1"/>
          <w:sz w:val="24"/>
          <w:szCs w:val="24"/>
        </w:rPr>
        <w:lastRenderedPageBreak/>
        <w:t>lokalnych ośrodków wiedzy i edukacji są zgodne z celem LOWE</w:t>
      </w:r>
      <w:r w:rsidRPr="0071530B">
        <w:rPr>
          <w:color w:val="000000" w:themeColor="text1"/>
          <w:sz w:val="24"/>
          <w:szCs w:val="24"/>
        </w:rPr>
        <w:t>.</w:t>
      </w:r>
    </w:p>
    <w:p w14:paraId="730B6B0B" w14:textId="77777777" w:rsidR="00D60E1B" w:rsidRPr="00D60E1B" w:rsidRDefault="00D60E1B" w:rsidP="00D60E1B">
      <w:pPr>
        <w:pStyle w:val="Akapitzlist"/>
        <w:spacing w:after="120" w:line="276" w:lineRule="auto"/>
        <w:ind w:left="425"/>
        <w:rPr>
          <w:rFonts w:cs="Calibri"/>
          <w:sz w:val="24"/>
          <w:szCs w:val="24"/>
        </w:rPr>
      </w:pPr>
      <w:r w:rsidRPr="00D60E1B">
        <w:rPr>
          <w:rFonts w:cs="Calibri"/>
          <w:sz w:val="24"/>
          <w:szCs w:val="24"/>
        </w:rPr>
        <w:t>Celem podejmowanych w ramach lokalnych ośrodków wiedzy i edukacji (LOWE) działań jest:</w:t>
      </w:r>
    </w:p>
    <w:p w14:paraId="18167F22" w14:textId="5B502623"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aktywizacja edukacyjna osób dorosłych, w szczególności z utrudnionym dostępem do odpowiadających na ich potrzeby ofert edukacyjnych, w</w:t>
      </w:r>
      <w:r>
        <w:rPr>
          <w:rFonts w:cs="Calibri"/>
          <w:sz w:val="24"/>
          <w:szCs w:val="24"/>
        </w:rPr>
        <w:t> </w:t>
      </w:r>
      <w:r w:rsidRPr="00D60E1B">
        <w:rPr>
          <w:rFonts w:cs="Calibri"/>
          <w:sz w:val="24"/>
          <w:szCs w:val="24"/>
        </w:rPr>
        <w:t>otoczeniu szkół i placówek systemu oświaty do rozwijania swoich umiejętności i włączania się w życie społeczności lokalnej;</w:t>
      </w:r>
    </w:p>
    <w:p w14:paraId="3217F1D3" w14:textId="5A34B2C4"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utrzymanie zaangażowania edukacyjnego osób dorosłych przez dobór odpowiednich form i zakresu oferty edukacyjnej, dostosowanej do indywidualnych potrzeb i oczekiwań;</w:t>
      </w:r>
    </w:p>
    <w:p w14:paraId="254F9FD0" w14:textId="35D8DAD0" w:rsidR="00D60E1B" w:rsidRPr="0071530B" w:rsidRDefault="00D60E1B" w:rsidP="003C7A3F">
      <w:pPr>
        <w:pStyle w:val="Akapitzlist"/>
        <w:numPr>
          <w:ilvl w:val="0"/>
          <w:numId w:val="116"/>
        </w:numPr>
        <w:spacing w:after="120" w:line="276" w:lineRule="auto"/>
        <w:ind w:left="851"/>
        <w:contextualSpacing w:val="0"/>
        <w:rPr>
          <w:rFonts w:cs="Calibri"/>
          <w:sz w:val="24"/>
          <w:szCs w:val="24"/>
        </w:rPr>
      </w:pPr>
      <w:r w:rsidRPr="00D60E1B">
        <w:rPr>
          <w:rFonts w:cs="Calibri"/>
          <w:sz w:val="24"/>
          <w:szCs w:val="24"/>
        </w:rPr>
        <w:t>aktywizowanie instytucji i organizacji z otoczenia szkół i placówek na rzecz rozwoju umiejętności dorosłych w społeczności lokalnej.</w:t>
      </w:r>
    </w:p>
    <w:p w14:paraId="55A1F132" w14:textId="384FBDC6" w:rsidR="00D60E1B" w:rsidRPr="00D60E1B" w:rsidRDefault="000760DF" w:rsidP="003C7A3F">
      <w:pPr>
        <w:pStyle w:val="Akapitzlist"/>
        <w:numPr>
          <w:ilvl w:val="0"/>
          <w:numId w:val="91"/>
        </w:numPr>
        <w:spacing w:after="120" w:line="276" w:lineRule="auto"/>
        <w:ind w:left="425"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D60E1B">
        <w:rPr>
          <w:rFonts w:cs="Calibri"/>
          <w:sz w:val="24"/>
          <w:szCs w:val="24"/>
        </w:rPr>
        <w:t>w</w:t>
      </w:r>
      <w:r w:rsidR="00D60E1B" w:rsidRPr="00D60E1B">
        <w:rPr>
          <w:rFonts w:cs="Calibri"/>
          <w:sz w:val="24"/>
          <w:szCs w:val="24"/>
        </w:rPr>
        <w:t>sparcie edukacyjne podejmowane w</w:t>
      </w:r>
      <w:r w:rsidR="00D60E1B">
        <w:rPr>
          <w:rFonts w:cs="Calibri"/>
          <w:sz w:val="24"/>
          <w:szCs w:val="24"/>
        </w:rPr>
        <w:t> </w:t>
      </w:r>
      <w:r w:rsidR="00D60E1B" w:rsidRPr="00D60E1B">
        <w:rPr>
          <w:rFonts w:cs="Calibri"/>
          <w:sz w:val="24"/>
          <w:szCs w:val="24"/>
        </w:rPr>
        <w:t>ramach LOWE zostanie poprzedzone kompleksową oceną potrzeb osób dorosłych w zakresie umiejętności na danym obszarze.</w:t>
      </w:r>
    </w:p>
    <w:p w14:paraId="4FBE561B"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Zgodnie z zapisami „Wytycznych dotyczących realizacji projektów z udziałem środków Europejskiego Funduszu Społecznego Plus w regionalnych programach na lata 2021 – 2027” wszelkie działania podejmowane przez LOWE poprzedzone są kompleksową oceną potrzeb osób dorosłych w zakresie umiejętności na danym obszarze, co będzie stanowiło podstawę dla opracowywania treści ofert edukacyjnych, które będą realizowane w ramach projektu. </w:t>
      </w:r>
    </w:p>
    <w:p w14:paraId="53FA32A2"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Oznacza to, że weryfikacji podlegać będzie czy o zakresie wsparcia decyduje szczegółowa i pogłębiona diagnoza uczestników. </w:t>
      </w:r>
    </w:p>
    <w:p w14:paraId="7851FF0B" w14:textId="1F59F801" w:rsidR="00D60E1B" w:rsidRPr="00D60E1B" w:rsidRDefault="00D60E1B" w:rsidP="006C42F6">
      <w:pPr>
        <w:pStyle w:val="Akapitzlist"/>
        <w:spacing w:after="120" w:line="276" w:lineRule="auto"/>
        <w:ind w:left="425"/>
        <w:contextualSpacing w:val="0"/>
        <w:rPr>
          <w:sz w:val="24"/>
          <w:szCs w:val="24"/>
        </w:rPr>
      </w:pPr>
      <w:bookmarkStart w:id="32" w:name="_Hlk174965031"/>
      <w:r w:rsidRPr="00D60E1B">
        <w:rPr>
          <w:sz w:val="24"/>
          <w:szCs w:val="24"/>
        </w:rPr>
        <w:t xml:space="preserve">W ramach działań projektowych należy założyć </w:t>
      </w:r>
      <w:bookmarkEnd w:id="32"/>
      <w:r w:rsidRPr="00D60E1B">
        <w:rPr>
          <w:sz w:val="24"/>
          <w:szCs w:val="24"/>
        </w:rPr>
        <w:t xml:space="preserve">komponent doradztwa edukacyjno-zawodowego, w tym co najmniej w oparciu o Bilans Kompetencji. Jednocześnie Wnioskodawca jest zobowiązany do zachęcania uczestników do założenia Moje portfolio lub konta </w:t>
      </w:r>
      <w:proofErr w:type="spellStart"/>
      <w:r w:rsidRPr="00D60E1B">
        <w:rPr>
          <w:sz w:val="24"/>
          <w:szCs w:val="24"/>
        </w:rPr>
        <w:t>Europass</w:t>
      </w:r>
      <w:proofErr w:type="spellEnd"/>
      <w:r w:rsidRPr="00D60E1B">
        <w:rPr>
          <w:sz w:val="24"/>
          <w:szCs w:val="24"/>
        </w:rPr>
        <w:t xml:space="preserve"> do identyfikacji nabytych umiejętności/kompetencji oraz wsparcia walidacji i certyfikacji.</w:t>
      </w:r>
      <w:r>
        <w:rPr>
          <w:sz w:val="24"/>
          <w:szCs w:val="24"/>
        </w:rPr>
        <w:t xml:space="preserve"> </w:t>
      </w:r>
      <w:r w:rsidRPr="00D60E1B">
        <w:rPr>
          <w:sz w:val="24"/>
          <w:szCs w:val="24"/>
        </w:rPr>
        <w:t>Jednocześnie oferta edukacyjna musi uwzględniać potrzeby lokalnego/regionalnego rynku pracy.</w:t>
      </w:r>
    </w:p>
    <w:p w14:paraId="613C34CE" w14:textId="77777777" w:rsidR="00FF0868" w:rsidRPr="00FF0868" w:rsidRDefault="00E83033" w:rsidP="003C7A3F">
      <w:pPr>
        <w:pStyle w:val="Akapitzlist"/>
        <w:numPr>
          <w:ilvl w:val="0"/>
          <w:numId w:val="91"/>
        </w:numPr>
        <w:spacing w:before="120" w:after="120" w:line="276" w:lineRule="auto"/>
        <w:ind w:left="425"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FF0868">
        <w:rPr>
          <w:rFonts w:cs="Calibri"/>
          <w:sz w:val="24"/>
          <w:szCs w:val="24"/>
        </w:rPr>
        <w:t>w</w:t>
      </w:r>
      <w:r w:rsidR="00FF0868" w:rsidRPr="00FF0868">
        <w:rPr>
          <w:rFonts w:cs="Calibri"/>
          <w:sz w:val="24"/>
          <w:szCs w:val="24"/>
        </w:rPr>
        <w:t xml:space="preserve"> ramach projektu w stosunku do wszystkich uczestników dokonana zostanie ocena umiejętności cyfrowych</w:t>
      </w:r>
      <w:r w:rsidR="00FF0868" w:rsidRPr="00FF0868">
        <w:rPr>
          <w:rFonts w:cs="Calibri"/>
          <w:sz w:val="24"/>
          <w:szCs w:val="24"/>
          <w:vertAlign w:val="superscript"/>
        </w:rPr>
        <w:footnoteReference w:id="1"/>
      </w:r>
      <w:r w:rsidR="00FF0868" w:rsidRPr="00FF0868">
        <w:rPr>
          <w:rFonts w:cs="Calibri"/>
          <w:sz w:val="24"/>
          <w:szCs w:val="24"/>
        </w:rPr>
        <w:t xml:space="preserve"> oraz w razie konieczności zapewniona zostanie oferta edukacyjna.</w:t>
      </w:r>
      <w:r w:rsidR="00FF0868">
        <w:rPr>
          <w:rFonts w:cs="Calibri"/>
          <w:sz w:val="24"/>
          <w:szCs w:val="24"/>
        </w:rPr>
        <w:t xml:space="preserve"> </w:t>
      </w:r>
    </w:p>
    <w:p w14:paraId="54DD552B" w14:textId="3A5AA0BB" w:rsidR="00FF0868" w:rsidRPr="00FF0868" w:rsidRDefault="00FF0868" w:rsidP="00FF0868">
      <w:pPr>
        <w:pStyle w:val="Akapitzlist"/>
        <w:spacing w:after="120" w:line="276" w:lineRule="auto"/>
        <w:ind w:left="425"/>
        <w:contextualSpacing w:val="0"/>
        <w:rPr>
          <w:sz w:val="24"/>
          <w:szCs w:val="24"/>
        </w:rPr>
      </w:pPr>
      <w:r w:rsidRPr="00FF0868">
        <w:rPr>
          <w:sz w:val="24"/>
          <w:szCs w:val="24"/>
        </w:rPr>
        <w:t xml:space="preserve">Jako element obowiązkowy w stosunku do wszystkich uczestników projektu należy dokonać oceny umiejętności cyfrowych w celu określenia posiadanych umiejętności i potrzeb w zakresie ich poprawy, z wykorzystaniem „Europejskiego narzędzia do oceny poziomu kompetencji cyfrowych” lub innego narzędzia rekomendowanego przez ministra właściwego do spraw pracy. Jednocześnie </w:t>
      </w:r>
      <w:r w:rsidRPr="00FF0868">
        <w:rPr>
          <w:sz w:val="24"/>
          <w:szCs w:val="24"/>
        </w:rPr>
        <w:lastRenderedPageBreak/>
        <w:t>jeżeli w wyniku diagnozy wystąpi konieczność zapewnienia uczestnikowi wsparcia w zakresie podniesienia kompetencji cyfrowych, zapewniona zostanie dostosowana do potrzeb elastyczna i wysokiej jakości oferta edukacyjna oraz walidacja nabytych umiejętności.</w:t>
      </w:r>
    </w:p>
    <w:p w14:paraId="25BB53C9" w14:textId="53E6B353" w:rsidR="00EA67E9" w:rsidRDefault="00EA67E9" w:rsidP="003C7A3F">
      <w:pPr>
        <w:pStyle w:val="Akapitzlist"/>
        <w:numPr>
          <w:ilvl w:val="0"/>
          <w:numId w:val="91"/>
        </w:numPr>
        <w:spacing w:after="120" w:line="276" w:lineRule="auto"/>
        <w:ind w:left="425" w:hanging="357"/>
        <w:contextualSpacing w:val="0"/>
        <w:rPr>
          <w:sz w:val="24"/>
          <w:szCs w:val="24"/>
        </w:rPr>
      </w:pPr>
      <w:r w:rsidRPr="0071530B">
        <w:rPr>
          <w:sz w:val="24"/>
          <w:szCs w:val="24"/>
        </w:rPr>
        <w:t xml:space="preserve">Zgodnie z </w:t>
      </w:r>
      <w:r w:rsidRPr="0071530B">
        <w:rPr>
          <w:b/>
          <w:bCs/>
          <w:sz w:val="24"/>
          <w:szCs w:val="24"/>
        </w:rPr>
        <w:t>kryterium szczególnym nr 8</w:t>
      </w:r>
      <w:r w:rsidRPr="0071530B">
        <w:rPr>
          <w:sz w:val="24"/>
          <w:szCs w:val="24"/>
        </w:rPr>
        <w:t xml:space="preserve"> </w:t>
      </w:r>
      <w:r w:rsidR="00FF0868">
        <w:rPr>
          <w:sz w:val="24"/>
          <w:szCs w:val="24"/>
        </w:rPr>
        <w:t>d</w:t>
      </w:r>
      <w:r w:rsidR="00FF0868" w:rsidRPr="00FF0868">
        <w:rPr>
          <w:sz w:val="24"/>
          <w:szCs w:val="24"/>
        </w:rPr>
        <w:t>ziałania podejmowane w ramach LOWE wspierane będą przez animatora.</w:t>
      </w:r>
    </w:p>
    <w:p w14:paraId="1C16CC1D" w14:textId="339D07A0" w:rsidR="00FF0868" w:rsidRPr="0071530B" w:rsidRDefault="00FF0868" w:rsidP="00FF0868">
      <w:pPr>
        <w:pStyle w:val="Akapitzlist"/>
        <w:spacing w:after="120" w:line="276" w:lineRule="auto"/>
        <w:ind w:left="425"/>
        <w:contextualSpacing w:val="0"/>
        <w:rPr>
          <w:sz w:val="24"/>
          <w:szCs w:val="24"/>
        </w:rPr>
      </w:pPr>
      <w:r w:rsidRPr="00FF0868">
        <w:rPr>
          <w:sz w:val="24"/>
          <w:szCs w:val="24"/>
        </w:rPr>
        <w:t>Zgodnie z modelem „Lokalnych Ośrodków Wiedzy i Edukacji (LOWE)”, wypracowanym w PO WER, każda inicjatywa musi być wspierana przez animatora.</w:t>
      </w:r>
      <w:r>
        <w:rPr>
          <w:sz w:val="24"/>
          <w:szCs w:val="24"/>
        </w:rPr>
        <w:t xml:space="preserve"> Kompetencje oraz zakres pracy animatora zostały szczegółowo opisane w Modelu funkcjonowania LOWE stanowiącym Załącznik nr</w:t>
      </w:r>
      <w:r w:rsidR="009A69A0">
        <w:rPr>
          <w:sz w:val="24"/>
          <w:szCs w:val="24"/>
        </w:rPr>
        <w:t xml:space="preserve"> 1</w:t>
      </w:r>
      <w:r w:rsidR="00B76029">
        <w:rPr>
          <w:sz w:val="24"/>
          <w:szCs w:val="24"/>
        </w:rPr>
        <w:t>1</w:t>
      </w:r>
      <w:r>
        <w:rPr>
          <w:sz w:val="24"/>
          <w:szCs w:val="24"/>
        </w:rPr>
        <w:t xml:space="preserve"> do Regulaminu wyboru projektów.</w:t>
      </w:r>
    </w:p>
    <w:p w14:paraId="1A6AA12A" w14:textId="6962760E" w:rsidR="00FF0868" w:rsidRDefault="000C081D" w:rsidP="003C7A3F">
      <w:pPr>
        <w:pStyle w:val="Akapitzlist"/>
        <w:numPr>
          <w:ilvl w:val="0"/>
          <w:numId w:val="91"/>
        </w:numPr>
        <w:spacing w:before="120" w:after="120" w:line="276" w:lineRule="auto"/>
        <w:ind w:left="357" w:hanging="426"/>
        <w:contextualSpacing w:val="0"/>
        <w:rPr>
          <w:sz w:val="24"/>
          <w:szCs w:val="24"/>
        </w:rPr>
      </w:pPr>
      <w:r w:rsidRPr="00FF0868">
        <w:rPr>
          <w:sz w:val="24"/>
          <w:szCs w:val="24"/>
        </w:rPr>
        <w:t xml:space="preserve">Zgodnie z </w:t>
      </w:r>
      <w:r w:rsidRPr="00FF0868">
        <w:rPr>
          <w:b/>
          <w:bCs/>
          <w:sz w:val="24"/>
          <w:szCs w:val="24"/>
        </w:rPr>
        <w:t>kryterium szczególnym nr 9</w:t>
      </w:r>
      <w:r w:rsidRPr="00FF0868">
        <w:rPr>
          <w:sz w:val="24"/>
          <w:szCs w:val="24"/>
        </w:rPr>
        <w:t xml:space="preserve"> </w:t>
      </w:r>
      <w:r w:rsidR="00FF0868">
        <w:rPr>
          <w:sz w:val="24"/>
          <w:szCs w:val="24"/>
        </w:rPr>
        <w:t>w</w:t>
      </w:r>
      <w:r w:rsidR="00FF0868" w:rsidRPr="00FF0868">
        <w:rPr>
          <w:sz w:val="24"/>
          <w:szCs w:val="24"/>
        </w:rPr>
        <w:t>nioskodawca włączy się w</w:t>
      </w:r>
      <w:r w:rsidR="00FF0868">
        <w:rPr>
          <w:sz w:val="24"/>
          <w:szCs w:val="24"/>
        </w:rPr>
        <w:t> </w:t>
      </w:r>
      <w:r w:rsidR="00FF0868" w:rsidRPr="00FF0868">
        <w:rPr>
          <w:sz w:val="24"/>
          <w:szCs w:val="24"/>
        </w:rPr>
        <w:t>ogólnopolską sieć LOWE oraz będzie współpracował z lokalnymi Klubami Rozwoju Cyfrowego, tworzonymi w FERS.</w:t>
      </w:r>
    </w:p>
    <w:p w14:paraId="6B55E2F3" w14:textId="356C2165" w:rsidR="00FF0868" w:rsidRDefault="00FF0868" w:rsidP="00FF0868">
      <w:pPr>
        <w:pStyle w:val="Akapitzlist"/>
        <w:spacing w:before="120" w:after="120" w:line="276" w:lineRule="auto"/>
        <w:ind w:left="357"/>
        <w:contextualSpacing w:val="0"/>
        <w:rPr>
          <w:sz w:val="24"/>
          <w:szCs w:val="24"/>
        </w:rPr>
      </w:pPr>
      <w:r w:rsidRPr="00FF0868">
        <w:rPr>
          <w:sz w:val="24"/>
          <w:szCs w:val="24"/>
        </w:rPr>
        <w:t>Wnioskodawca włączy się w ogólnopolską sieć LOWE, która będzie rozwijana i</w:t>
      </w:r>
      <w:r>
        <w:rPr>
          <w:sz w:val="24"/>
          <w:szCs w:val="24"/>
        </w:rPr>
        <w:t> </w:t>
      </w:r>
      <w:r w:rsidRPr="00FF0868">
        <w:rPr>
          <w:sz w:val="24"/>
          <w:szCs w:val="24"/>
        </w:rPr>
        <w:t>koordynowana przez ministra właściwego do spraw oświaty i wychowania w</w:t>
      </w:r>
      <w:r>
        <w:rPr>
          <w:sz w:val="24"/>
          <w:szCs w:val="24"/>
        </w:rPr>
        <w:t> </w:t>
      </w:r>
      <w:r w:rsidRPr="00FF0868">
        <w:rPr>
          <w:sz w:val="24"/>
          <w:szCs w:val="24"/>
        </w:rPr>
        <w:t>ramach FERS, a także współpracę z lokalnymi Klubami Rozwoju Cyfrowego, tworzonymi w FERS, o ile taki Klub powstanie na obszarze objętym projektem.</w:t>
      </w:r>
    </w:p>
    <w:p w14:paraId="7AFF8A5E" w14:textId="77777777" w:rsidR="00FF0868" w:rsidRDefault="00C4179D" w:rsidP="003C7A3F">
      <w:pPr>
        <w:pStyle w:val="Akapitzlist"/>
        <w:numPr>
          <w:ilvl w:val="0"/>
          <w:numId w:val="91"/>
        </w:numPr>
        <w:spacing w:after="120" w:line="276" w:lineRule="auto"/>
        <w:ind w:left="425" w:hanging="425"/>
        <w:contextualSpacing w:val="0"/>
        <w:rPr>
          <w:rFonts w:cs="Calibri"/>
          <w:bCs/>
          <w:sz w:val="24"/>
          <w:szCs w:val="24"/>
        </w:rPr>
      </w:pPr>
      <w:r w:rsidRPr="00EE1CCF">
        <w:rPr>
          <w:sz w:val="24"/>
          <w:szCs w:val="24"/>
        </w:rPr>
        <w:t xml:space="preserve">Zgodnie z </w:t>
      </w:r>
      <w:r w:rsidRPr="00EE1CCF">
        <w:rPr>
          <w:b/>
          <w:bCs/>
          <w:sz w:val="24"/>
          <w:szCs w:val="24"/>
        </w:rPr>
        <w:t>kryterium szczególnym nr 10</w:t>
      </w:r>
      <w:r w:rsidRPr="00EE1CCF">
        <w:rPr>
          <w:sz w:val="24"/>
          <w:szCs w:val="24"/>
        </w:rPr>
        <w:t xml:space="preserve"> </w:t>
      </w:r>
      <w:r w:rsidR="00FF0868">
        <w:rPr>
          <w:rFonts w:cs="Calibri"/>
          <w:bCs/>
          <w:sz w:val="24"/>
          <w:szCs w:val="24"/>
        </w:rPr>
        <w:t>o</w:t>
      </w:r>
      <w:r w:rsidR="00FF0868" w:rsidRPr="00FF0868">
        <w:rPr>
          <w:rFonts w:cs="Calibri"/>
          <w:bCs/>
          <w:sz w:val="24"/>
          <w:szCs w:val="24"/>
        </w:rPr>
        <w:t>kres realizacji projektu nie przekracza 24 miesięcy.</w:t>
      </w:r>
    </w:p>
    <w:p w14:paraId="1E85B682" w14:textId="654A1E20" w:rsidR="00FF0868" w:rsidRPr="00FF0868" w:rsidRDefault="00FF0868" w:rsidP="00FF0868">
      <w:pPr>
        <w:pStyle w:val="Akapitzlist"/>
        <w:spacing w:after="120" w:line="276" w:lineRule="auto"/>
        <w:ind w:left="425"/>
        <w:contextualSpacing w:val="0"/>
        <w:rPr>
          <w:rFonts w:cs="Calibri"/>
          <w:bCs/>
          <w:sz w:val="24"/>
          <w:szCs w:val="24"/>
        </w:rPr>
      </w:pPr>
      <w:r w:rsidRPr="00FF0868">
        <w:rPr>
          <w:rFonts w:cs="Calibri"/>
          <w:bCs/>
          <w:sz w:val="24"/>
          <w:szCs w:val="24"/>
        </w:rPr>
        <w:t xml:space="preserve">Okres realizacji projektu nie może być dłuższy niż 24 miesiące, z zastrzeżeniem, że okres funkcjonowania LOWE w ramach projektu nie może być krótszy niż 12 miesięcy. </w:t>
      </w:r>
    </w:p>
    <w:p w14:paraId="1CE89C43" w14:textId="1C6F72E2" w:rsidR="00FF0868" w:rsidRDefault="00FF0868" w:rsidP="003C7A3F">
      <w:pPr>
        <w:pStyle w:val="Akapitzlist"/>
        <w:numPr>
          <w:ilvl w:val="0"/>
          <w:numId w:val="91"/>
        </w:numPr>
        <w:spacing w:before="120" w:line="276" w:lineRule="auto"/>
        <w:ind w:left="426"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1</w:t>
      </w:r>
      <w:r w:rsidRPr="00EE1CCF">
        <w:rPr>
          <w:sz w:val="24"/>
          <w:szCs w:val="24"/>
        </w:rPr>
        <w:t xml:space="preserve"> </w:t>
      </w:r>
      <w:r>
        <w:rPr>
          <w:sz w:val="24"/>
          <w:szCs w:val="24"/>
        </w:rPr>
        <w:t>b</w:t>
      </w:r>
      <w:r w:rsidRPr="00FF0868">
        <w:rPr>
          <w:sz w:val="24"/>
          <w:szCs w:val="24"/>
        </w:rPr>
        <w:t>iuro projektu znajduje się na terenie, w którym jest realizowany projekt.</w:t>
      </w:r>
    </w:p>
    <w:p w14:paraId="791DD06D" w14:textId="740E627B" w:rsidR="00FF0868" w:rsidRPr="00FF0868" w:rsidRDefault="00FF0868" w:rsidP="00FF0868">
      <w:pPr>
        <w:pStyle w:val="Akapitzlist"/>
        <w:spacing w:before="120" w:line="276" w:lineRule="auto"/>
        <w:ind w:left="426"/>
        <w:contextualSpacing w:val="0"/>
        <w:rPr>
          <w:sz w:val="24"/>
          <w:szCs w:val="24"/>
        </w:rPr>
      </w:pPr>
      <w:r w:rsidRPr="00FF0868">
        <w:rPr>
          <w:sz w:val="24"/>
          <w:szCs w:val="24"/>
        </w:rPr>
        <w:t>Wnioskodawca w okresie realizacji projektu zobowiązany jest prowadzić biuro projektu na obszarze gminy, w której jest  realizowany projekt, tj. w miejscu umożliwiającym równy dostęp potencjalnym uczestnikom/uczestniczkom projektu.</w:t>
      </w:r>
    </w:p>
    <w:p w14:paraId="08AC2101" w14:textId="1637A79B" w:rsidR="00FF0868" w:rsidRDefault="00FF0868" w:rsidP="003C7A3F">
      <w:pPr>
        <w:pStyle w:val="Akapitzlist"/>
        <w:numPr>
          <w:ilvl w:val="0"/>
          <w:numId w:val="91"/>
        </w:numPr>
        <w:spacing w:before="120" w:line="276" w:lineRule="auto"/>
        <w:ind w:left="425"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2</w:t>
      </w:r>
      <w:r w:rsidRPr="00EE1CCF">
        <w:rPr>
          <w:sz w:val="24"/>
          <w:szCs w:val="24"/>
        </w:rPr>
        <w:t xml:space="preserve"> </w:t>
      </w:r>
      <w:r w:rsidRPr="00FF0868">
        <w:rPr>
          <w:sz w:val="24"/>
          <w:szCs w:val="24"/>
        </w:rPr>
        <w:t>Projekt zakłada trwałość funkcjonowania LOWE.</w:t>
      </w:r>
    </w:p>
    <w:p w14:paraId="2FB710EB" w14:textId="77777777" w:rsidR="00FF0868" w:rsidRPr="00FF0868" w:rsidRDefault="00FF0868" w:rsidP="00FF0868">
      <w:pPr>
        <w:pStyle w:val="Akapitzlist"/>
        <w:spacing w:before="120" w:line="276" w:lineRule="auto"/>
        <w:ind w:left="425"/>
        <w:contextualSpacing w:val="0"/>
        <w:rPr>
          <w:sz w:val="24"/>
          <w:szCs w:val="24"/>
        </w:rPr>
      </w:pPr>
      <w:r w:rsidRPr="00FF0868">
        <w:rPr>
          <w:sz w:val="24"/>
          <w:szCs w:val="24"/>
        </w:rPr>
        <w:t>Wprowadzenie kryterium przyczyni się do utrzymania trwałości funkcjonowania LOWE. Trwałość funkcjonowania LOWE będzie monitorowana po 12 pełnych miesiącach od daty zakończenia realizacji projektu. Funkcjonowanie LOWE należy rozumieć jako instytucjonalną gotowość placówki do świadczenia usług dla osób dorosłych.</w:t>
      </w:r>
    </w:p>
    <w:p w14:paraId="22C0D6B9" w14:textId="50816D36" w:rsidR="006C42F6" w:rsidRPr="006C42F6" w:rsidRDefault="006C42F6" w:rsidP="006C42F6">
      <w:pPr>
        <w:pStyle w:val="Akapitzlist"/>
        <w:spacing w:before="120" w:line="276" w:lineRule="auto"/>
        <w:ind w:left="426"/>
        <w:contextualSpacing w:val="0"/>
        <w:rPr>
          <w:sz w:val="24"/>
          <w:szCs w:val="24"/>
        </w:rPr>
      </w:pPr>
      <w:r w:rsidRPr="006C42F6">
        <w:rPr>
          <w:b/>
          <w:bCs/>
          <w:sz w:val="24"/>
          <w:szCs w:val="24"/>
        </w:rPr>
        <w:t>Uwaga!</w:t>
      </w:r>
      <w:r w:rsidR="00FF0868" w:rsidRPr="00FF0868">
        <w:rPr>
          <w:sz w:val="24"/>
          <w:szCs w:val="24"/>
        </w:rPr>
        <w:t xml:space="preserve"> W celu spełnienia kryterium należy opisać sposób, w jaki zostanie zapewniona trwałość funkcjonowania LOWE, w tym sposób finansowania po zakończeniu realizacji projektu.</w:t>
      </w:r>
    </w:p>
    <w:p w14:paraId="33E5020C" w14:textId="6D3E8621" w:rsidR="006C42F6" w:rsidRDefault="006C42F6" w:rsidP="003C7A3F">
      <w:pPr>
        <w:pStyle w:val="Akapitzlist"/>
        <w:numPr>
          <w:ilvl w:val="0"/>
          <w:numId w:val="91"/>
        </w:numPr>
        <w:spacing w:before="120" w:line="276" w:lineRule="auto"/>
        <w:ind w:left="426" w:hanging="426"/>
        <w:contextualSpacing w:val="0"/>
        <w:rPr>
          <w:sz w:val="24"/>
          <w:szCs w:val="24"/>
        </w:rPr>
      </w:pPr>
      <w:r w:rsidRPr="00EE1CCF">
        <w:rPr>
          <w:sz w:val="24"/>
          <w:szCs w:val="24"/>
        </w:rPr>
        <w:lastRenderedPageBreak/>
        <w:t xml:space="preserve">Zgodnie z </w:t>
      </w:r>
      <w:r w:rsidRPr="00EE1CCF">
        <w:rPr>
          <w:b/>
          <w:bCs/>
          <w:sz w:val="24"/>
          <w:szCs w:val="24"/>
        </w:rPr>
        <w:t>kryterium szczególnym nr 1</w:t>
      </w:r>
      <w:r>
        <w:rPr>
          <w:b/>
          <w:bCs/>
          <w:sz w:val="24"/>
          <w:szCs w:val="24"/>
        </w:rPr>
        <w:t>3</w:t>
      </w:r>
      <w:r w:rsidRPr="00EE1CCF">
        <w:rPr>
          <w:sz w:val="24"/>
          <w:szCs w:val="24"/>
        </w:rPr>
        <w:t xml:space="preserve"> </w:t>
      </w:r>
      <w:r w:rsidRPr="006C42F6">
        <w:rPr>
          <w:sz w:val="24"/>
          <w:szCs w:val="24"/>
        </w:rPr>
        <w:t>Wartość wsparcia jednego LOWE jest zgodna z określonym limitem.</w:t>
      </w:r>
    </w:p>
    <w:p w14:paraId="70ECA0EE" w14:textId="792100CB" w:rsidR="006C42F6" w:rsidRDefault="006C42F6" w:rsidP="006C42F6">
      <w:pPr>
        <w:pStyle w:val="Akapitzlist"/>
        <w:spacing w:before="120" w:line="276" w:lineRule="auto"/>
        <w:ind w:left="426"/>
        <w:contextualSpacing w:val="0"/>
        <w:rPr>
          <w:sz w:val="24"/>
          <w:szCs w:val="24"/>
        </w:rPr>
      </w:pPr>
      <w:r w:rsidRPr="006C42F6">
        <w:rPr>
          <w:sz w:val="24"/>
          <w:szCs w:val="24"/>
        </w:rPr>
        <w:t>Wartość dofinansowania przeznaczona na wsparcie jednego LOWE jest nie większa niż 400 000,00 zł. Limit określa kwotę kosztów bezpośrednich projektu w</w:t>
      </w:r>
      <w:r w:rsidR="003C5CD2">
        <w:rPr>
          <w:sz w:val="24"/>
          <w:szCs w:val="24"/>
        </w:rPr>
        <w:t> </w:t>
      </w:r>
      <w:r w:rsidRPr="006C42F6">
        <w:rPr>
          <w:sz w:val="24"/>
          <w:szCs w:val="24"/>
        </w:rPr>
        <w:t>ramach kwoty dofinasowania.</w:t>
      </w:r>
    </w:p>
    <w:p w14:paraId="1184C01A" w14:textId="5D662D4E" w:rsidR="00D40BAC" w:rsidRPr="00C4179D" w:rsidRDefault="00DC4337" w:rsidP="003C7A3F">
      <w:pPr>
        <w:pStyle w:val="Akapitzlist"/>
        <w:numPr>
          <w:ilvl w:val="0"/>
          <w:numId w:val="91"/>
        </w:numPr>
        <w:spacing w:before="120" w:line="276" w:lineRule="auto"/>
        <w:ind w:left="426"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7216A">
      <w:pPr>
        <w:pStyle w:val="Nagwek3"/>
        <w:rPr>
          <w:color w:val="auto"/>
        </w:rPr>
      </w:pPr>
      <w:bookmarkStart w:id="33" w:name="_Toc200113171"/>
      <w:r w:rsidRPr="003C5CD2">
        <w:rPr>
          <w:color w:val="auto"/>
        </w:rPr>
        <w:t>Dodatkowe warunki realizacji projektów</w:t>
      </w:r>
      <w:bookmarkEnd w:id="33"/>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0225B642" w14:textId="24AC296C" w:rsidR="00F702B5" w:rsidRPr="005325AC" w:rsidRDefault="006C42F6" w:rsidP="003C7A3F">
      <w:pPr>
        <w:pStyle w:val="Akapitzlist"/>
        <w:numPr>
          <w:ilvl w:val="0"/>
          <w:numId w:val="94"/>
        </w:numPr>
        <w:spacing w:after="120" w:line="276" w:lineRule="auto"/>
        <w:ind w:left="426" w:hanging="426"/>
        <w:rPr>
          <w:sz w:val="24"/>
          <w:szCs w:val="24"/>
        </w:rPr>
      </w:pPr>
      <w:r w:rsidRPr="006C42F6">
        <w:rPr>
          <w:rFonts w:cs="Calibri"/>
          <w:bCs/>
          <w:sz w:val="24"/>
          <w:szCs w:val="24"/>
        </w:rPr>
        <w:t>Projekt obejmuje wsparciem wyłącznie osoby z terenów wiejskich.</w:t>
      </w:r>
    </w:p>
    <w:p w14:paraId="59D9D066" w14:textId="1F5BCC78"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D40D55">
        <w:rPr>
          <w:bCs/>
          <w:sz w:val="24"/>
          <w:szCs w:val="24"/>
        </w:rPr>
        <w:t xml:space="preserve">5 </w:t>
      </w:r>
      <w:r w:rsidRPr="0064376A">
        <w:rPr>
          <w:bCs/>
          <w:sz w:val="24"/>
          <w:szCs w:val="24"/>
        </w:rPr>
        <w:t xml:space="preserve">punktów premiujących, </w:t>
      </w:r>
      <w:r w:rsidR="00D40D55" w:rsidRPr="00D40D55">
        <w:rPr>
          <w:bCs/>
          <w:sz w:val="24"/>
          <w:szCs w:val="24"/>
        </w:rPr>
        <w:t>jeśli z treści wniosku będzie jednoznacznie wynikało, że projektodawca planuje objąć 100% uczestników z grupy docelowej wyszczególnionej w nazwie kryterium.</w:t>
      </w:r>
    </w:p>
    <w:p w14:paraId="558C5EAC" w14:textId="048A0263" w:rsidR="00F702B5" w:rsidRDefault="00D40D55" w:rsidP="00D40D55">
      <w:pPr>
        <w:spacing w:before="120" w:after="120" w:line="276" w:lineRule="auto"/>
        <w:ind w:left="426"/>
        <w:rPr>
          <w:bCs/>
          <w:sz w:val="24"/>
          <w:szCs w:val="24"/>
        </w:rPr>
      </w:pPr>
      <w:r w:rsidRPr="00D40D55">
        <w:rPr>
          <w:b/>
          <w:sz w:val="24"/>
          <w:szCs w:val="24"/>
        </w:rPr>
        <w:t>Uwaga!</w:t>
      </w:r>
      <w:r w:rsidRPr="00D40D55">
        <w:rPr>
          <w:bCs/>
          <w:sz w:val="24"/>
          <w:szCs w:val="24"/>
        </w:rPr>
        <w:t xml:space="preserve"> Wnioskodawca jest zobowiązany do wskazania we wniosku o</w:t>
      </w:r>
      <w:r>
        <w:rPr>
          <w:bCs/>
          <w:sz w:val="24"/>
          <w:szCs w:val="24"/>
        </w:rPr>
        <w:t> </w:t>
      </w:r>
      <w:r w:rsidRPr="00D40D55">
        <w:rPr>
          <w:bCs/>
          <w:sz w:val="24"/>
          <w:szCs w:val="24"/>
        </w:rPr>
        <w:t>dofinansowanie projektu wskaźnika produktu: Liczba osób z terenów wiejskich objętych wsparciem w projekcie.</w:t>
      </w:r>
    </w:p>
    <w:p w14:paraId="1FD35C81" w14:textId="0B7E699D" w:rsidR="00F702B5" w:rsidRDefault="00D40D55" w:rsidP="003C7A3F">
      <w:pPr>
        <w:pStyle w:val="Akapitzlist"/>
        <w:numPr>
          <w:ilvl w:val="0"/>
          <w:numId w:val="94"/>
        </w:numPr>
        <w:spacing w:after="120" w:line="276" w:lineRule="auto"/>
        <w:ind w:left="426" w:hanging="426"/>
        <w:rPr>
          <w:color w:val="000000" w:themeColor="text1"/>
          <w:sz w:val="24"/>
          <w:szCs w:val="24"/>
        </w:rPr>
      </w:pPr>
      <w:r w:rsidRPr="00D40D55">
        <w:rPr>
          <w:color w:val="000000" w:themeColor="text1"/>
          <w:sz w:val="24"/>
          <w:szCs w:val="24"/>
        </w:rPr>
        <w:t>W ramach projektu zawiązane zostanie formalne partnerstwo lokalne.</w:t>
      </w:r>
    </w:p>
    <w:p w14:paraId="0654F201" w14:textId="57ED0D82" w:rsidR="00D40D55" w:rsidRPr="00D40D55" w:rsidRDefault="00342AA2" w:rsidP="00D40D55">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D40D55">
        <w:rPr>
          <w:bCs/>
          <w:sz w:val="24"/>
          <w:szCs w:val="24"/>
        </w:rPr>
        <w:t xml:space="preserve">5 </w:t>
      </w:r>
      <w:r w:rsidR="00D40D55" w:rsidRPr="00D40D55">
        <w:rPr>
          <w:bCs/>
          <w:sz w:val="24"/>
          <w:szCs w:val="24"/>
        </w:rPr>
        <w:t xml:space="preserve">punktów premiujących, jeśli z treści wniosku będzie jednoznacznie wynikało, że Partnerstwo </w:t>
      </w:r>
      <w:r w:rsidR="00D40D55">
        <w:rPr>
          <w:bCs/>
          <w:sz w:val="24"/>
          <w:szCs w:val="24"/>
        </w:rPr>
        <w:t>zostanie</w:t>
      </w:r>
      <w:r w:rsidR="00D40D55" w:rsidRPr="00D40D55">
        <w:rPr>
          <w:bCs/>
          <w:sz w:val="24"/>
          <w:szCs w:val="24"/>
        </w:rPr>
        <w:t xml:space="preserve"> zawiązane z partnerami lokalnymi, którzy będą brali aktywny udział w działaniach partnerstwa wspierającego działalność LOWE, np. instytucje rynku pracy, instytucje kultury, sportu, turystyki, wsparcia rodziny, ośrodki zdrowia, organizacje pozarządowe i inne organizacje społeczne itp.</w:t>
      </w:r>
    </w:p>
    <w:p w14:paraId="03D4D347" w14:textId="6A2D5BD4" w:rsidR="00D40D55" w:rsidRPr="00D40D55" w:rsidRDefault="00D40D55" w:rsidP="00D40D55">
      <w:pPr>
        <w:spacing w:before="120" w:after="120" w:line="276" w:lineRule="auto"/>
        <w:ind w:left="426"/>
        <w:rPr>
          <w:bCs/>
          <w:sz w:val="24"/>
          <w:szCs w:val="24"/>
        </w:rPr>
      </w:pPr>
      <w:r w:rsidRPr="00D40D55">
        <w:rPr>
          <w:bCs/>
          <w:sz w:val="24"/>
          <w:szCs w:val="24"/>
        </w:rPr>
        <w:t>Partnerstwo takie musi mieć formę współpracy partnerów, którzy wspólnie, w</w:t>
      </w:r>
      <w:r>
        <w:rPr>
          <w:bCs/>
          <w:sz w:val="24"/>
          <w:szCs w:val="24"/>
        </w:rPr>
        <w:t> </w:t>
      </w:r>
      <w:r w:rsidRPr="00D40D55">
        <w:rPr>
          <w:bCs/>
          <w:sz w:val="24"/>
          <w:szCs w:val="24"/>
        </w:rPr>
        <w:t>sposób systematyczny i trwały, z wykorzystaniem innowacyjnych metod oraz rozwiązań planują, projektują, wdrażają i realizują określone działania</w:t>
      </w:r>
      <w:r w:rsidRPr="00D40D55">
        <w:rPr>
          <w:b/>
          <w:bCs/>
          <w:sz w:val="24"/>
          <w:szCs w:val="24"/>
        </w:rPr>
        <w:t xml:space="preserve">, </w:t>
      </w:r>
      <w:r w:rsidRPr="00D40D55">
        <w:rPr>
          <w:bCs/>
          <w:sz w:val="24"/>
          <w:szCs w:val="24"/>
        </w:rPr>
        <w:t xml:space="preserve">inicjatywy i usługi edukacyjne w zakresie uczenia się osób dorosłych. To międzysektorowa kooperacja, efektywna, ukierunkowana na cele i transfer wiedzy z zakresie rozwijania kompetencji kluczowych osób dorosłych. </w:t>
      </w:r>
    </w:p>
    <w:p w14:paraId="16BA0624" w14:textId="66B6B583" w:rsidR="00D40D55" w:rsidRDefault="00D40D55" w:rsidP="00D40D55">
      <w:pPr>
        <w:spacing w:before="120" w:after="120" w:line="276" w:lineRule="auto"/>
        <w:ind w:left="426"/>
        <w:rPr>
          <w:bCs/>
          <w:sz w:val="24"/>
          <w:szCs w:val="24"/>
        </w:rPr>
      </w:pPr>
      <w:r w:rsidRPr="00D40D55">
        <w:rPr>
          <w:bCs/>
          <w:sz w:val="24"/>
          <w:szCs w:val="24"/>
        </w:rPr>
        <w:t>Partnerstwo musi mieć charakter formalny czyli  musi zostać oparte o formalny dokument potwierdzający wspólną realizację zadań w ramach LOWE, np.</w:t>
      </w:r>
      <w:r w:rsidR="003D7FE1">
        <w:rPr>
          <w:bCs/>
          <w:sz w:val="24"/>
          <w:szCs w:val="24"/>
        </w:rPr>
        <w:t> </w:t>
      </w:r>
      <w:r w:rsidRPr="00D40D55">
        <w:rPr>
          <w:bCs/>
          <w:sz w:val="24"/>
          <w:szCs w:val="24"/>
        </w:rPr>
        <w:t>w</w:t>
      </w:r>
      <w:r>
        <w:rPr>
          <w:bCs/>
          <w:sz w:val="24"/>
          <w:szCs w:val="24"/>
        </w:rPr>
        <w:t> </w:t>
      </w:r>
      <w:r w:rsidRPr="00D40D55">
        <w:rPr>
          <w:bCs/>
          <w:sz w:val="24"/>
          <w:szCs w:val="24"/>
        </w:rPr>
        <w:t>oparciu o Porozumienie.</w:t>
      </w:r>
    </w:p>
    <w:p w14:paraId="3F4DFA32" w14:textId="6440E046" w:rsidR="00B55AAA" w:rsidRDefault="00B55AAA" w:rsidP="00D40D55">
      <w:pPr>
        <w:spacing w:before="120" w:after="120" w:line="276" w:lineRule="auto"/>
        <w:ind w:left="426"/>
        <w:rPr>
          <w:bCs/>
          <w:sz w:val="24"/>
          <w:szCs w:val="24"/>
        </w:rPr>
      </w:pPr>
      <w:r w:rsidRPr="00B55AAA">
        <w:rPr>
          <w:b/>
          <w:sz w:val="24"/>
          <w:szCs w:val="24"/>
        </w:rPr>
        <w:t>Uwaga!</w:t>
      </w:r>
      <w:r>
        <w:rPr>
          <w:bCs/>
          <w:sz w:val="24"/>
          <w:szCs w:val="24"/>
        </w:rPr>
        <w:t xml:space="preserve"> K</w:t>
      </w:r>
      <w:r w:rsidRPr="00B55AAA">
        <w:rPr>
          <w:bCs/>
          <w:sz w:val="24"/>
          <w:szCs w:val="24"/>
        </w:rPr>
        <w:t>ryterium ma na celu zbudowanie partnerstwa</w:t>
      </w:r>
      <w:r>
        <w:rPr>
          <w:bCs/>
          <w:sz w:val="24"/>
          <w:szCs w:val="24"/>
        </w:rPr>
        <w:t xml:space="preserve"> </w:t>
      </w:r>
      <w:r w:rsidRPr="00B55AAA">
        <w:rPr>
          <w:bCs/>
          <w:sz w:val="24"/>
          <w:szCs w:val="24"/>
        </w:rPr>
        <w:t>w trakcie realizacji projektu</w:t>
      </w:r>
      <w:r>
        <w:rPr>
          <w:bCs/>
          <w:sz w:val="24"/>
          <w:szCs w:val="24"/>
        </w:rPr>
        <w:t>. Partnerstwa</w:t>
      </w:r>
      <w:r w:rsidR="003519D5">
        <w:rPr>
          <w:bCs/>
          <w:sz w:val="24"/>
          <w:szCs w:val="24"/>
        </w:rPr>
        <w:t>,</w:t>
      </w:r>
      <w:r>
        <w:rPr>
          <w:bCs/>
          <w:sz w:val="24"/>
          <w:szCs w:val="24"/>
        </w:rPr>
        <w:t xml:space="preserve"> o którym mowa w przedmiotowym kryterium nie należy traktować jako partnerstwa realizacyjnego</w:t>
      </w:r>
      <w:r w:rsidRPr="00B55AAA">
        <w:rPr>
          <w:bCs/>
          <w:sz w:val="24"/>
          <w:szCs w:val="24"/>
        </w:rPr>
        <w:t xml:space="preserve"> w rozumieniu art. 39 ustawy o</w:t>
      </w:r>
      <w:r>
        <w:rPr>
          <w:bCs/>
          <w:sz w:val="24"/>
          <w:szCs w:val="24"/>
        </w:rPr>
        <w:t> </w:t>
      </w:r>
      <w:r w:rsidRPr="00B55AAA">
        <w:rPr>
          <w:bCs/>
          <w:sz w:val="24"/>
          <w:szCs w:val="24"/>
        </w:rPr>
        <w:t>zasadach realizacji zadań finansowanych ze środków europejskich w</w:t>
      </w:r>
      <w:r>
        <w:rPr>
          <w:bCs/>
          <w:sz w:val="24"/>
          <w:szCs w:val="24"/>
        </w:rPr>
        <w:t> </w:t>
      </w:r>
      <w:r w:rsidRPr="00B55AAA">
        <w:rPr>
          <w:bCs/>
          <w:sz w:val="24"/>
          <w:szCs w:val="24"/>
        </w:rPr>
        <w:t>perspektywie finansowej 2021–2027.</w:t>
      </w:r>
    </w:p>
    <w:p w14:paraId="065E8572" w14:textId="0EF5DBF2" w:rsidR="00432DF9" w:rsidRPr="00B12B12" w:rsidRDefault="003D7FE1" w:rsidP="003C7A3F">
      <w:pPr>
        <w:pStyle w:val="Akapitzlist"/>
        <w:numPr>
          <w:ilvl w:val="0"/>
          <w:numId w:val="94"/>
        </w:numPr>
        <w:spacing w:before="120" w:after="120" w:line="276" w:lineRule="auto"/>
        <w:ind w:left="426"/>
        <w:rPr>
          <w:bCs/>
          <w:sz w:val="24"/>
          <w:szCs w:val="24"/>
        </w:rPr>
      </w:pPr>
      <w:r>
        <w:rPr>
          <w:bCs/>
          <w:sz w:val="24"/>
          <w:szCs w:val="24"/>
        </w:rPr>
        <w:lastRenderedPageBreak/>
        <w:t xml:space="preserve">W ramach </w:t>
      </w:r>
      <w:r w:rsidR="00832E32">
        <w:rPr>
          <w:bCs/>
          <w:sz w:val="24"/>
          <w:szCs w:val="24"/>
        </w:rPr>
        <w:t>bezpośredniego wsparcia uczestników</w:t>
      </w:r>
      <w:r>
        <w:rPr>
          <w:bCs/>
          <w:sz w:val="24"/>
          <w:szCs w:val="24"/>
        </w:rPr>
        <w:t xml:space="preserve"> </w:t>
      </w:r>
      <w:r w:rsidR="00832E32">
        <w:rPr>
          <w:bCs/>
          <w:sz w:val="24"/>
          <w:szCs w:val="24"/>
        </w:rPr>
        <w:t>dopuszczalne jest</w:t>
      </w:r>
      <w:r>
        <w:rPr>
          <w:bCs/>
          <w:sz w:val="24"/>
          <w:szCs w:val="24"/>
        </w:rPr>
        <w:t xml:space="preserve"> realizowan</w:t>
      </w:r>
      <w:r w:rsidR="00832E32">
        <w:rPr>
          <w:bCs/>
          <w:sz w:val="24"/>
          <w:szCs w:val="24"/>
        </w:rPr>
        <w:t>ie</w:t>
      </w:r>
      <w:r>
        <w:rPr>
          <w:bCs/>
          <w:sz w:val="24"/>
          <w:szCs w:val="24"/>
        </w:rPr>
        <w:t xml:space="preserve"> </w:t>
      </w:r>
      <w:r w:rsidRPr="003D7FE1">
        <w:rPr>
          <w:bCs/>
          <w:sz w:val="24"/>
          <w:szCs w:val="24"/>
        </w:rPr>
        <w:t>ścież</w:t>
      </w:r>
      <w:r w:rsidR="00832E32">
        <w:rPr>
          <w:bCs/>
          <w:sz w:val="24"/>
          <w:szCs w:val="24"/>
        </w:rPr>
        <w:t>ek</w:t>
      </w:r>
      <w:r w:rsidRPr="003D7FE1">
        <w:rPr>
          <w:bCs/>
          <w:sz w:val="24"/>
          <w:szCs w:val="24"/>
        </w:rPr>
        <w:t xml:space="preserve"> podnoszenia </w:t>
      </w:r>
      <w:r w:rsidRPr="002E775C">
        <w:rPr>
          <w:bCs/>
          <w:sz w:val="24"/>
          <w:szCs w:val="24"/>
        </w:rPr>
        <w:t>umiejętności „</w:t>
      </w:r>
      <w:proofErr w:type="spellStart"/>
      <w:r w:rsidRPr="002E775C">
        <w:rPr>
          <w:bCs/>
          <w:sz w:val="24"/>
          <w:szCs w:val="24"/>
        </w:rPr>
        <w:t>upskilling</w:t>
      </w:r>
      <w:proofErr w:type="spellEnd"/>
      <w:r>
        <w:rPr>
          <w:bCs/>
          <w:sz w:val="24"/>
          <w:szCs w:val="24"/>
        </w:rPr>
        <w:t xml:space="preserve"> </w:t>
      </w:r>
      <w:proofErr w:type="spellStart"/>
      <w:r>
        <w:rPr>
          <w:bCs/>
          <w:sz w:val="24"/>
          <w:szCs w:val="24"/>
        </w:rPr>
        <w:t>pathways</w:t>
      </w:r>
      <w:proofErr w:type="spellEnd"/>
      <w:r>
        <w:rPr>
          <w:bCs/>
          <w:sz w:val="24"/>
          <w:szCs w:val="24"/>
        </w:rPr>
        <w:t>”</w:t>
      </w:r>
      <w:r w:rsidRPr="003D7FE1">
        <w:rPr>
          <w:bCs/>
          <w:sz w:val="24"/>
          <w:szCs w:val="24"/>
        </w:rPr>
        <w:t>, zgodnie z zaleceniem Rady z</w:t>
      </w:r>
      <w:r w:rsidR="00832E32">
        <w:rPr>
          <w:bCs/>
          <w:sz w:val="24"/>
          <w:szCs w:val="24"/>
        </w:rPr>
        <w:t> </w:t>
      </w:r>
      <w:r w:rsidRPr="003D7FE1">
        <w:rPr>
          <w:bCs/>
          <w:sz w:val="24"/>
          <w:szCs w:val="24"/>
        </w:rPr>
        <w:t>dnia 19 grudnia 2016 r. w</w:t>
      </w:r>
      <w:r>
        <w:rPr>
          <w:bCs/>
          <w:sz w:val="24"/>
          <w:szCs w:val="24"/>
        </w:rPr>
        <w:t> </w:t>
      </w:r>
      <w:r w:rsidRPr="003D7FE1">
        <w:rPr>
          <w:bCs/>
          <w:sz w:val="24"/>
          <w:szCs w:val="24"/>
        </w:rPr>
        <w:t>sprawie ścieżek poprawy umiejętności: nowe możliwości dla dorosłych (2016/C 484/01).</w:t>
      </w:r>
      <w:r w:rsidR="00432DF9">
        <w:rPr>
          <w:bCs/>
          <w:sz w:val="24"/>
          <w:szCs w:val="24"/>
        </w:rPr>
        <w:t xml:space="preserve"> </w:t>
      </w:r>
      <w:r w:rsidR="00432DF9" w:rsidRPr="00B12B12">
        <w:rPr>
          <w:bCs/>
          <w:sz w:val="24"/>
          <w:szCs w:val="24"/>
        </w:rPr>
        <w:t xml:space="preserve">W ramach działań projektowych możliwe jest </w:t>
      </w:r>
      <w:r w:rsidR="00B12B12" w:rsidRPr="00B12B12">
        <w:rPr>
          <w:bCs/>
          <w:sz w:val="24"/>
          <w:szCs w:val="24"/>
        </w:rPr>
        <w:t>w</w:t>
      </w:r>
      <w:r w:rsidR="00432DF9" w:rsidRPr="00B12B12">
        <w:rPr>
          <w:bCs/>
          <w:sz w:val="24"/>
          <w:szCs w:val="24"/>
        </w:rPr>
        <w:t>sparcie edukacyjne osób dorosłych o niskich umiejętnościach podstawowych, realizowane 3-stopniowo poprzez:</w:t>
      </w:r>
    </w:p>
    <w:p w14:paraId="66E6B12B" w14:textId="103446FB" w:rsidR="00432DF9" w:rsidRDefault="00432DF9" w:rsidP="003C7A3F">
      <w:pPr>
        <w:pStyle w:val="Akapitzlist"/>
        <w:numPr>
          <w:ilvl w:val="0"/>
          <w:numId w:val="121"/>
        </w:numPr>
        <w:spacing w:line="276" w:lineRule="auto"/>
        <w:rPr>
          <w:bCs/>
          <w:sz w:val="24"/>
          <w:szCs w:val="24"/>
        </w:rPr>
      </w:pPr>
      <w:r w:rsidRPr="00432DF9">
        <w:rPr>
          <w:bCs/>
          <w:sz w:val="24"/>
          <w:szCs w:val="24"/>
        </w:rPr>
        <w:t>ocenę umiejętności</w:t>
      </w:r>
      <w:r w:rsidR="00B12B12">
        <w:rPr>
          <w:bCs/>
          <w:sz w:val="24"/>
          <w:szCs w:val="24"/>
        </w:rPr>
        <w:t>, s</w:t>
      </w:r>
      <w:r w:rsidR="00B12B12" w:rsidRPr="00B12B12">
        <w:rPr>
          <w:bCs/>
          <w:sz w:val="24"/>
          <w:szCs w:val="24"/>
        </w:rPr>
        <w:t>zczegółowa diagnoza umiejętności nie powinna przekraczać dwóch godzin i powinna być podzielona na 3 etapy. Etap pierwszy w formie rekrutacji, finansowany z kosztów pośrednich, etap drugi i</w:t>
      </w:r>
      <w:r w:rsidR="008D6970">
        <w:rPr>
          <w:bCs/>
          <w:sz w:val="24"/>
          <w:szCs w:val="24"/>
        </w:rPr>
        <w:t> </w:t>
      </w:r>
      <w:r w:rsidR="00B12B12" w:rsidRPr="00B12B12">
        <w:rPr>
          <w:bCs/>
          <w:sz w:val="24"/>
          <w:szCs w:val="24"/>
        </w:rPr>
        <w:t>trzeci w celu wspierania postępów osób uczących się na wszystkich etapach procesu poprawy umiejętności, możliwy jest do finansowania w</w:t>
      </w:r>
      <w:r w:rsidR="008D6970">
        <w:rPr>
          <w:bCs/>
          <w:sz w:val="24"/>
          <w:szCs w:val="24"/>
        </w:rPr>
        <w:t xml:space="preserve"> </w:t>
      </w:r>
      <w:r w:rsidR="00B12B12" w:rsidRPr="00B12B12">
        <w:rPr>
          <w:bCs/>
          <w:sz w:val="24"/>
          <w:szCs w:val="24"/>
        </w:rPr>
        <w:t>ramach kosztów bezpośrednich</w:t>
      </w:r>
      <w:r w:rsidR="003C7A3F">
        <w:rPr>
          <w:bCs/>
          <w:sz w:val="24"/>
          <w:szCs w:val="24"/>
        </w:rPr>
        <w:t>;</w:t>
      </w:r>
    </w:p>
    <w:p w14:paraId="385A1CC9" w14:textId="7D0000C9" w:rsidR="00B12B12" w:rsidRDefault="00432DF9" w:rsidP="003C7A3F">
      <w:pPr>
        <w:pStyle w:val="Akapitzlist"/>
        <w:numPr>
          <w:ilvl w:val="0"/>
          <w:numId w:val="121"/>
        </w:numPr>
        <w:spacing w:line="276" w:lineRule="auto"/>
        <w:rPr>
          <w:bCs/>
          <w:sz w:val="24"/>
          <w:szCs w:val="24"/>
        </w:rPr>
      </w:pPr>
      <w:r w:rsidRPr="00432DF9">
        <w:rPr>
          <w:bCs/>
          <w:sz w:val="24"/>
          <w:szCs w:val="24"/>
        </w:rPr>
        <w:t>ofertę edukacyjną</w:t>
      </w:r>
      <w:r w:rsidR="00B12B12" w:rsidRPr="00B12B12">
        <w:rPr>
          <w:bCs/>
          <w:sz w:val="24"/>
          <w:szCs w:val="24"/>
        </w:rPr>
        <w:t xml:space="preserve"> </w:t>
      </w:r>
      <w:r w:rsidR="00B12B12">
        <w:rPr>
          <w:bCs/>
          <w:sz w:val="24"/>
          <w:szCs w:val="24"/>
        </w:rPr>
        <w:t xml:space="preserve">dotyczącą </w:t>
      </w:r>
      <w:r w:rsidR="00B12B12" w:rsidRPr="00B12B12">
        <w:rPr>
          <w:bCs/>
          <w:sz w:val="24"/>
          <w:szCs w:val="24"/>
        </w:rPr>
        <w:t>umiejętności podstawowych rozumianych jako</w:t>
      </w:r>
      <w:r w:rsidR="003C7A3F">
        <w:rPr>
          <w:bCs/>
          <w:sz w:val="24"/>
          <w:szCs w:val="24"/>
        </w:rPr>
        <w:t xml:space="preserve"> np.</w:t>
      </w:r>
      <w:r w:rsidR="00B12B12" w:rsidRPr="00B12B12">
        <w:rPr>
          <w:bCs/>
          <w:sz w:val="24"/>
          <w:szCs w:val="24"/>
        </w:rPr>
        <w:t xml:space="preserve">: </w:t>
      </w:r>
      <w:r w:rsidRPr="00432DF9">
        <w:rPr>
          <w:bCs/>
          <w:sz w:val="24"/>
          <w:szCs w:val="24"/>
        </w:rPr>
        <w:t>umiejętności cyfrowe</w:t>
      </w:r>
      <w:r w:rsidR="00B12B12" w:rsidRPr="00B12B12">
        <w:rPr>
          <w:bCs/>
          <w:sz w:val="24"/>
          <w:szCs w:val="24"/>
        </w:rPr>
        <w:t>, a także rozumienie i tworzenie informacji</w:t>
      </w:r>
      <w:r w:rsidR="003C7A3F">
        <w:rPr>
          <w:bCs/>
          <w:sz w:val="24"/>
          <w:szCs w:val="24"/>
        </w:rPr>
        <w:t>;</w:t>
      </w:r>
    </w:p>
    <w:p w14:paraId="2ADC13DB" w14:textId="15EFF368" w:rsidR="00432DF9" w:rsidRPr="00B12B12" w:rsidRDefault="00432DF9" w:rsidP="003C7A3F">
      <w:pPr>
        <w:pStyle w:val="Akapitzlist"/>
        <w:numPr>
          <w:ilvl w:val="0"/>
          <w:numId w:val="121"/>
        </w:numPr>
        <w:spacing w:line="276" w:lineRule="auto"/>
        <w:rPr>
          <w:bCs/>
          <w:sz w:val="24"/>
          <w:szCs w:val="24"/>
        </w:rPr>
      </w:pPr>
      <w:r w:rsidRPr="00B12B12">
        <w:rPr>
          <w:bCs/>
          <w:sz w:val="24"/>
          <w:szCs w:val="24"/>
        </w:rPr>
        <w:t>walidację</w:t>
      </w:r>
      <w:r w:rsidR="00B12B12">
        <w:rPr>
          <w:bCs/>
          <w:sz w:val="24"/>
          <w:szCs w:val="24"/>
        </w:rPr>
        <w:t xml:space="preserve"> nabytych umiejętności podstawowych lub certyfikowania kwalifikacji, w tym zachęcanie do założenia „Mojego portfolio” lub konta </w:t>
      </w:r>
      <w:proofErr w:type="spellStart"/>
      <w:r w:rsidR="00B12B12">
        <w:rPr>
          <w:bCs/>
          <w:sz w:val="24"/>
          <w:szCs w:val="24"/>
        </w:rPr>
        <w:t>Europass</w:t>
      </w:r>
      <w:proofErr w:type="spellEnd"/>
      <w:r w:rsidR="00B12B12">
        <w:rPr>
          <w:bCs/>
          <w:sz w:val="24"/>
          <w:szCs w:val="24"/>
        </w:rPr>
        <w:t>.</w:t>
      </w:r>
    </w:p>
    <w:p w14:paraId="3C2FE139" w14:textId="6C1DF406" w:rsidR="006937CE" w:rsidRPr="00B504AA" w:rsidRDefault="006937CE" w:rsidP="00B504AA">
      <w:pPr>
        <w:pStyle w:val="Nagwek2"/>
      </w:pPr>
      <w:bookmarkStart w:id="34" w:name="_Toc200113172"/>
      <w:r w:rsidRPr="00B504AA">
        <w:t>Zgodność</w:t>
      </w:r>
      <w:r w:rsidR="0017579E" w:rsidRPr="00B504AA">
        <w:t xml:space="preserve"> z </w:t>
      </w:r>
      <w:r w:rsidRPr="00B504AA">
        <w:t>zasadami horyzontalnymi</w:t>
      </w:r>
      <w:bookmarkEnd w:id="34"/>
    </w:p>
    <w:p w14:paraId="11B41AE6" w14:textId="095402FC"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3C7A3F">
      <w:pPr>
        <w:pStyle w:val="Akapitzlist"/>
        <w:numPr>
          <w:ilvl w:val="0"/>
          <w:numId w:val="48"/>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35" w:name="_Hlk137638018"/>
      <w:r w:rsidRPr="00E50A01">
        <w:rPr>
          <w:color w:val="000000" w:themeColor="text1"/>
          <w:sz w:val="24"/>
          <w:szCs w:val="24"/>
        </w:rPr>
        <w:t xml:space="preserve">Zgodność projektu z Konwencją o Prawach Osób Niepełnosprawnych, na etapie </w:t>
      </w:r>
      <w:r w:rsidRPr="00E50A01">
        <w:rPr>
          <w:color w:val="000000" w:themeColor="text1"/>
          <w:sz w:val="24"/>
          <w:szCs w:val="24"/>
        </w:rPr>
        <w:lastRenderedPageBreak/>
        <w:t>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5"/>
    <w:p w14:paraId="218040B7" w14:textId="13B9D05B" w:rsidR="00987587" w:rsidRPr="008E42C4" w:rsidRDefault="00987587" w:rsidP="003C7A3F">
      <w:pPr>
        <w:pStyle w:val="Akapitzlist"/>
        <w:numPr>
          <w:ilvl w:val="0"/>
          <w:numId w:val="48"/>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 xml:space="preserve">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w:t>
      </w:r>
      <w:r w:rsidRPr="0005480F">
        <w:rPr>
          <w:color w:val="000000" w:themeColor="text1"/>
          <w:sz w:val="24"/>
          <w:szCs w:val="24"/>
        </w:rPr>
        <w:lastRenderedPageBreak/>
        <w:t>kategoriom limitowanym</w:t>
      </w:r>
      <w:r w:rsidRPr="0005480F">
        <w:rPr>
          <w:color w:val="000000" w:themeColor="text1"/>
          <w:sz w:val="24"/>
          <w:szCs w:val="24"/>
          <w:vertAlign w:val="superscript"/>
        </w:rPr>
        <w:footnoteReference w:id="2"/>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3C7A3F">
      <w:pPr>
        <w:pStyle w:val="Akapitzlist"/>
        <w:numPr>
          <w:ilvl w:val="0"/>
          <w:numId w:val="48"/>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D51171">
      <w:pPr>
        <w:pStyle w:val="Akapitzlist"/>
        <w:spacing w:before="120" w:after="120" w:line="276" w:lineRule="auto"/>
        <w:ind w:left="426"/>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D51171">
      <w:pPr>
        <w:pStyle w:val="Akapitzlist"/>
        <w:spacing w:before="120" w:after="120" w:line="276" w:lineRule="auto"/>
        <w:ind w:left="426"/>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3C7A3F">
      <w:pPr>
        <w:pStyle w:val="Akapitzlist"/>
        <w:numPr>
          <w:ilvl w:val="0"/>
          <w:numId w:val="48"/>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lastRenderedPageBreak/>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3C7A3F">
      <w:pPr>
        <w:pStyle w:val="Akapitzlist"/>
        <w:numPr>
          <w:ilvl w:val="0"/>
          <w:numId w:val="48"/>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3C7A3F">
      <w:pPr>
        <w:pStyle w:val="Akapitzlist"/>
        <w:numPr>
          <w:ilvl w:val="0"/>
          <w:numId w:val="48"/>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 xml:space="preserve">Kryterium dotyczy również przypadku, gdy projekt rozpoczął się przed złożeniem wniosku o dofinansowanie. W takiej sytuacji działania zrealizowane przed </w:t>
      </w:r>
      <w:r w:rsidRPr="00F02B47">
        <w:rPr>
          <w:bCs/>
          <w:color w:val="000000" w:themeColor="text1"/>
          <w:sz w:val="24"/>
          <w:szCs w:val="24"/>
        </w:rPr>
        <w:lastRenderedPageBreak/>
        <w:t>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36" w:name="_Toc200113173"/>
      <w:r w:rsidRPr="00211FC2">
        <w:t>Wymagania czasowe dotyczące projektu</w:t>
      </w:r>
      <w:bookmarkEnd w:id="36"/>
    </w:p>
    <w:p w14:paraId="6A86C6E1" w14:textId="3E4C715B" w:rsidR="005F013A" w:rsidRPr="00211FC2" w:rsidRDefault="0005324B" w:rsidP="003C7A3F">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3C7A3F">
      <w:pPr>
        <w:pStyle w:val="Akapitzlist"/>
        <w:numPr>
          <w:ilvl w:val="0"/>
          <w:numId w:val="22"/>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3C7A3F">
      <w:pPr>
        <w:pStyle w:val="Akapitzlist"/>
        <w:numPr>
          <w:ilvl w:val="0"/>
          <w:numId w:val="22"/>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lastRenderedPageBreak/>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37" w:name="_Toc200113174"/>
      <w:r w:rsidRPr="00211FC2">
        <w:t xml:space="preserve">Efekty realizacji projektu </w:t>
      </w:r>
      <w:r w:rsidR="005C33BB" w:rsidRPr="00211FC2">
        <w:t>–</w:t>
      </w:r>
      <w:r w:rsidRPr="00211FC2">
        <w:t xml:space="preserve"> wskaźniki</w:t>
      </w:r>
      <w:bookmarkEnd w:id="37"/>
    </w:p>
    <w:p w14:paraId="0B6F1391" w14:textId="77777777" w:rsidR="00203F22" w:rsidRPr="007D535D" w:rsidRDefault="00203F22" w:rsidP="003C7A3F">
      <w:pPr>
        <w:pStyle w:val="Akapitzlist"/>
        <w:numPr>
          <w:ilvl w:val="0"/>
          <w:numId w:val="12"/>
        </w:numPr>
        <w:spacing w:before="120" w:after="120" w:line="276" w:lineRule="auto"/>
        <w:ind w:left="426"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3C7A3F">
      <w:pPr>
        <w:pStyle w:val="Akapitzlist"/>
        <w:numPr>
          <w:ilvl w:val="0"/>
          <w:numId w:val="12"/>
        </w:numPr>
        <w:spacing w:before="120" w:after="120" w:line="276" w:lineRule="auto"/>
        <w:ind w:left="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6"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7"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w:t>
      </w:r>
      <w:r w:rsidRPr="00AF35D4">
        <w:rPr>
          <w:color w:val="000000" w:themeColor="text1"/>
          <w:sz w:val="24"/>
          <w:szCs w:val="24"/>
        </w:rPr>
        <w:lastRenderedPageBreak/>
        <w:t xml:space="preserve">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3C7A3F">
      <w:pPr>
        <w:pStyle w:val="Akapitzlist"/>
        <w:numPr>
          <w:ilvl w:val="0"/>
          <w:numId w:val="14"/>
        </w:numPr>
        <w:shd w:val="clear" w:color="auto" w:fill="FFFFFF"/>
        <w:tabs>
          <w:tab w:val="left" w:pos="499"/>
        </w:tabs>
        <w:spacing w:before="240" w:after="240" w:line="276" w:lineRule="auto"/>
        <w:ind w:left="850"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51BF7196"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5B69CE">
              <w:rPr>
                <w:color w:val="000000" w:themeColor="text1"/>
                <w:sz w:val="24"/>
                <w:szCs w:val="24"/>
              </w:rPr>
              <w:t>g</w:t>
            </w:r>
            <w:r w:rsidRPr="00211FC2">
              <w:rPr>
                <w:color w:val="000000" w:themeColor="text1"/>
                <w:sz w:val="24"/>
                <w:szCs w:val="24"/>
              </w:rPr>
              <w:t>)</w:t>
            </w:r>
          </w:p>
        </w:tc>
      </w:tr>
      <w:tr w:rsidR="001F67EF" w:rsidRPr="00211FC2" w14:paraId="5D7DE221" w14:textId="77777777" w:rsidTr="00A16E39">
        <w:tc>
          <w:tcPr>
            <w:tcW w:w="9061" w:type="dxa"/>
          </w:tcPr>
          <w:p w14:paraId="62E74639" w14:textId="065509F7" w:rsidR="001F67EF" w:rsidRPr="00211FC2" w:rsidRDefault="001F67EF" w:rsidP="007B7F52">
            <w:pPr>
              <w:tabs>
                <w:tab w:val="left" w:pos="499"/>
              </w:tabs>
              <w:spacing w:before="120" w:after="120" w:line="276" w:lineRule="auto"/>
              <w:rPr>
                <w:b/>
                <w:bCs/>
                <w:color w:val="000000" w:themeColor="text1"/>
              </w:rPr>
            </w:pPr>
            <w:bookmarkStart w:id="38" w:name="_Hlk137555956"/>
            <w:r w:rsidRPr="00211FC2">
              <w:rPr>
                <w:b/>
                <w:bCs/>
                <w:color w:val="000000" w:themeColor="text1"/>
                <w:sz w:val="24"/>
                <w:szCs w:val="24"/>
              </w:rPr>
              <w:t>Nazwa wskaźnika</w:t>
            </w:r>
          </w:p>
        </w:tc>
      </w:tr>
      <w:tr w:rsidR="001F67EF" w:rsidRPr="00211FC2" w14:paraId="3D84E283" w14:textId="77777777" w:rsidTr="00A16E39">
        <w:tc>
          <w:tcPr>
            <w:tcW w:w="9061" w:type="dxa"/>
          </w:tcPr>
          <w:p w14:paraId="0DBA420F" w14:textId="1CC4CF04" w:rsidR="001F67EF" w:rsidRPr="00CE6E5E" w:rsidRDefault="001F67EF" w:rsidP="004506B3">
            <w:pPr>
              <w:tabs>
                <w:tab w:val="left" w:pos="499"/>
              </w:tabs>
              <w:spacing w:before="120" w:after="120" w:line="276" w:lineRule="auto"/>
              <w:rPr>
                <w:sz w:val="24"/>
                <w:szCs w:val="24"/>
              </w:rPr>
            </w:pPr>
            <w:r w:rsidRPr="001F67EF">
              <w:rPr>
                <w:sz w:val="24"/>
                <w:szCs w:val="24"/>
              </w:rPr>
              <w:t>Liczba podmiotów przygotowanych do pełnienia funkcji lokalnego ośrodka kształcenia osób dorosłych (podmioty)</w:t>
            </w:r>
          </w:p>
        </w:tc>
      </w:tr>
      <w:tr w:rsidR="00F50565" w:rsidRPr="00211FC2" w14:paraId="4BB50D27" w14:textId="77777777" w:rsidTr="00C842D7">
        <w:tc>
          <w:tcPr>
            <w:tcW w:w="9061" w:type="dxa"/>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2C9A6D8E" w14:textId="10C16F3E"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mierzy liczbę podmiotów, które dzięki wsparciu EFS+ są przygotowane do pełnienia funkcji lokalnego ośrodka kształcenia osób dorosłych, tj. posiadają ofertę edukacyjną dla dorosłej społeczności lokalnej oraz kadrę przygotowaną do realizacji tych zadań.</w:t>
            </w:r>
          </w:p>
          <w:p w14:paraId="5F7B57CA" w14:textId="3A840766"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Lokalny ośrodek kształcenia osób dorosłych – ośrodek uruchomiony przy szkole lub innej placówce systemu oświaty, która świadczy usługi dla dorosłych, w</w:t>
            </w:r>
            <w:r w:rsidR="00E2058B">
              <w:rPr>
                <w:iCs/>
                <w:color w:val="000000" w:themeColor="text1"/>
                <w:sz w:val="24"/>
                <w:szCs w:val="24"/>
              </w:rPr>
              <w:t> </w:t>
            </w:r>
            <w:r w:rsidRPr="001F67EF">
              <w:rPr>
                <w:iCs/>
                <w:color w:val="000000" w:themeColor="text1"/>
                <w:sz w:val="24"/>
                <w:szCs w:val="24"/>
              </w:rPr>
              <w:t>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 Ośrodek wykorzystuje potencjał istniejącej placówki do prowadzenia działań na rzecz aktywności edukacyjnej i włączania osób dorosłych, w tym znajdujących się w niekorzystnej sytuacji zawodowej, w różnorodne formy edukacji.</w:t>
            </w:r>
          </w:p>
          <w:p w14:paraId="07F826E6" w14:textId="19E3C743" w:rsidR="00C842D7" w:rsidRPr="00C842D7"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mierzony w momencie zakończenia zadania w projekcie, dotyczącego przygotowania podmiotu do pełnienia funkcji lokalnego ośrodka kształcenia osób dorosłych.</w:t>
            </w:r>
          </w:p>
        </w:tc>
      </w:tr>
      <w:tr w:rsidR="000757F5" w:rsidRPr="00211FC2" w14:paraId="5628132C" w14:textId="77777777" w:rsidTr="00C842D7">
        <w:tc>
          <w:tcPr>
            <w:tcW w:w="9061" w:type="dxa"/>
          </w:tcPr>
          <w:p w14:paraId="65284D3D" w14:textId="02DAB6F2"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Nazwa wskaźnika</w:t>
            </w:r>
          </w:p>
        </w:tc>
      </w:tr>
      <w:tr w:rsidR="000757F5" w:rsidRPr="00211FC2" w14:paraId="59BD86F2" w14:textId="77777777" w:rsidTr="00C842D7">
        <w:tc>
          <w:tcPr>
            <w:tcW w:w="9061" w:type="dxa"/>
          </w:tcPr>
          <w:p w14:paraId="0BF8901E" w14:textId="5241A235" w:rsidR="000757F5" w:rsidRPr="001F67EF" w:rsidRDefault="000757F5" w:rsidP="001F67EF">
            <w:pPr>
              <w:widowControl/>
              <w:autoSpaceDE/>
              <w:autoSpaceDN/>
              <w:adjustRightInd/>
              <w:spacing w:before="120" w:after="120" w:line="276" w:lineRule="auto"/>
              <w:rPr>
                <w:iCs/>
                <w:color w:val="000000" w:themeColor="text1"/>
                <w:sz w:val="24"/>
                <w:szCs w:val="24"/>
              </w:rPr>
            </w:pPr>
            <w:bookmarkStart w:id="39" w:name="_Hlk130384061"/>
            <w:r w:rsidRPr="000757F5">
              <w:rPr>
                <w:iCs/>
                <w:color w:val="000000" w:themeColor="text1"/>
                <w:sz w:val="24"/>
                <w:szCs w:val="24"/>
              </w:rPr>
              <w:t xml:space="preserve">Liczba osób dorosłych objętych wsparciem w zakresie umiejętności lub kompetencji podstawowych, realizowanym poza Bazą Usług Rozwojowych </w:t>
            </w:r>
            <w:bookmarkEnd w:id="39"/>
            <w:r w:rsidRPr="000757F5">
              <w:rPr>
                <w:iCs/>
                <w:color w:val="000000" w:themeColor="text1"/>
                <w:sz w:val="24"/>
                <w:szCs w:val="24"/>
              </w:rPr>
              <w:t>(osoby)</w:t>
            </w:r>
          </w:p>
        </w:tc>
      </w:tr>
      <w:tr w:rsidR="000757F5" w:rsidRPr="00211FC2" w14:paraId="1F779D1B" w14:textId="77777777" w:rsidTr="00C842D7">
        <w:tc>
          <w:tcPr>
            <w:tcW w:w="9061" w:type="dxa"/>
          </w:tcPr>
          <w:p w14:paraId="156359C5" w14:textId="5EE9C6EF"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Definicja wskaźnika</w:t>
            </w:r>
          </w:p>
        </w:tc>
      </w:tr>
      <w:tr w:rsidR="000757F5" w:rsidRPr="00211FC2" w14:paraId="791B43BB" w14:textId="77777777" w:rsidTr="00C842D7">
        <w:tc>
          <w:tcPr>
            <w:tcW w:w="9061" w:type="dxa"/>
          </w:tcPr>
          <w:p w14:paraId="600B87B4"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lastRenderedPageBreak/>
              <w:t xml:space="preserve">Wskaźnik mierzy liczbę osób dorosłych, objętych wsparciem w zakresie uzyskania lub podniesienia podstawowych umiejętności lub kompetencji, w tym cyfrowych (dot. grup wykluczonych cyfrowo). Wsparcie realizowane poza systemem BUR i PSF, umożliwiające wdrażanie </w:t>
            </w:r>
            <w:proofErr w:type="spellStart"/>
            <w:r w:rsidRPr="000757F5">
              <w:rPr>
                <w:iCs/>
                <w:color w:val="000000" w:themeColor="text1"/>
                <w:sz w:val="24"/>
                <w:szCs w:val="24"/>
              </w:rPr>
              <w:t>Upskilling</w:t>
            </w:r>
            <w:proofErr w:type="spellEnd"/>
            <w:r w:rsidRPr="000757F5">
              <w:rPr>
                <w:iCs/>
                <w:color w:val="000000" w:themeColor="text1"/>
                <w:sz w:val="24"/>
                <w:szCs w:val="24"/>
              </w:rPr>
              <w:t xml:space="preserve"> </w:t>
            </w:r>
            <w:proofErr w:type="spellStart"/>
            <w:r w:rsidRPr="000757F5">
              <w:rPr>
                <w:iCs/>
                <w:color w:val="000000" w:themeColor="text1"/>
                <w:sz w:val="24"/>
                <w:szCs w:val="24"/>
              </w:rPr>
              <w:t>pathways</w:t>
            </w:r>
            <w:proofErr w:type="spellEnd"/>
            <w:r w:rsidRPr="000757F5">
              <w:rPr>
                <w:iCs/>
                <w:color w:val="000000" w:themeColor="text1"/>
                <w:sz w:val="24"/>
                <w:szCs w:val="24"/>
              </w:rPr>
              <w:t>, zgodnie z zaleceniem Rady z dnia 19 grudnia 2016 r. w sprawie ścieżek poprawy umiejętności: nowe możliwości dla dorosłych (2016/C 484/01).</w:t>
            </w:r>
          </w:p>
          <w:p w14:paraId="3561E63F"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Osoba dorosła to osoba powyżej 18 lat. Wiek uczestników określany jest na podstawie daty urodzenia i ustalany w dniu rozpoczęcia udziału w projekcie.</w:t>
            </w:r>
          </w:p>
          <w:p w14:paraId="07CAE145"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Wskaźnik mierzony w momencie rozpoczęcia udziału danej osoby w pierwszych zajęciach.</w:t>
            </w:r>
          </w:p>
          <w:p w14:paraId="7EE382BB" w14:textId="396A39FF" w:rsidR="000757F5" w:rsidRPr="001F67EF"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 xml:space="preserve">Umiejętności/kompetencje podstawowe (z ang. </w:t>
            </w:r>
            <w:proofErr w:type="spellStart"/>
            <w:r w:rsidRPr="000757F5">
              <w:rPr>
                <w:iCs/>
                <w:color w:val="000000" w:themeColor="text1"/>
                <w:sz w:val="24"/>
                <w:szCs w:val="24"/>
              </w:rPr>
              <w:t>basic</w:t>
            </w:r>
            <w:proofErr w:type="spellEnd"/>
            <w:r w:rsidRPr="000757F5">
              <w:rPr>
                <w:iCs/>
                <w:color w:val="000000" w:themeColor="text1"/>
                <w:sz w:val="24"/>
                <w:szCs w:val="24"/>
              </w:rPr>
              <w:t xml:space="preserve"> </w:t>
            </w:r>
            <w:proofErr w:type="spellStart"/>
            <w:r w:rsidRPr="000757F5">
              <w:rPr>
                <w:iCs/>
                <w:color w:val="000000" w:themeColor="text1"/>
                <w:sz w:val="24"/>
                <w:szCs w:val="24"/>
              </w:rPr>
              <w:t>skills</w:t>
            </w:r>
            <w:proofErr w:type="spellEnd"/>
            <w:r w:rsidRPr="000757F5">
              <w:rPr>
                <w:iCs/>
                <w:color w:val="000000" w:themeColor="text1"/>
                <w:sz w:val="24"/>
                <w:szCs w:val="24"/>
              </w:rPr>
              <w:t xml:space="preserve">: </w:t>
            </w:r>
            <w:proofErr w:type="spellStart"/>
            <w:r w:rsidRPr="000757F5">
              <w:rPr>
                <w:iCs/>
                <w:color w:val="000000" w:themeColor="text1"/>
                <w:sz w:val="24"/>
                <w:szCs w:val="24"/>
              </w:rPr>
              <w:t>literacy</w:t>
            </w:r>
            <w:proofErr w:type="spellEnd"/>
            <w:r w:rsidRPr="000757F5">
              <w:rPr>
                <w:iCs/>
                <w:color w:val="000000" w:themeColor="text1"/>
                <w:sz w:val="24"/>
                <w:szCs w:val="24"/>
              </w:rPr>
              <w:t xml:space="preserve">, </w:t>
            </w:r>
            <w:proofErr w:type="spellStart"/>
            <w:r w:rsidRPr="000757F5">
              <w:rPr>
                <w:iCs/>
                <w:color w:val="000000" w:themeColor="text1"/>
                <w:sz w:val="24"/>
                <w:szCs w:val="24"/>
              </w:rPr>
              <w:t>numeracy</w:t>
            </w:r>
            <w:proofErr w:type="spellEnd"/>
            <w:r w:rsidRPr="000757F5">
              <w:rPr>
                <w:iCs/>
                <w:color w:val="000000" w:themeColor="text1"/>
                <w:sz w:val="24"/>
                <w:szCs w:val="24"/>
              </w:rPr>
              <w:t xml:space="preserve">, ICT </w:t>
            </w:r>
            <w:proofErr w:type="spellStart"/>
            <w:r w:rsidRPr="000757F5">
              <w:rPr>
                <w:iCs/>
                <w:color w:val="000000" w:themeColor="text1"/>
                <w:sz w:val="24"/>
                <w:szCs w:val="24"/>
              </w:rPr>
              <w:t>skills</w:t>
            </w:r>
            <w:proofErr w:type="spellEnd"/>
            <w:r w:rsidRPr="000757F5">
              <w:rPr>
                <w:iCs/>
                <w:color w:val="000000" w:themeColor="text1"/>
                <w:sz w:val="24"/>
                <w:szCs w:val="24"/>
              </w:rPr>
              <w:t>) to podstawowe zdolności w zakresie rozumienia i tworzenia informacji, rozwijania i wykorzystania myślenia matematycznego oraz korzystania z</w:t>
            </w:r>
            <w:r w:rsidR="001637A8">
              <w:rPr>
                <w:iCs/>
                <w:color w:val="000000" w:themeColor="text1"/>
                <w:sz w:val="24"/>
                <w:szCs w:val="24"/>
              </w:rPr>
              <w:t> </w:t>
            </w:r>
            <w:r w:rsidRPr="000757F5">
              <w:rPr>
                <w:iCs/>
                <w:color w:val="000000" w:themeColor="text1"/>
                <w:sz w:val="24"/>
                <w:szCs w:val="24"/>
              </w:rPr>
              <w:t>technologii cyfrowych.</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842D7">
            <w:pPr>
              <w:spacing w:before="120" w:after="120" w:line="276" w:lineRule="auto"/>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8"/>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E345CB" w:rsidRPr="00211FC2" w14:paraId="18CF5F13" w14:textId="77777777" w:rsidTr="00E345CB">
        <w:tc>
          <w:tcPr>
            <w:tcW w:w="9061" w:type="dxa"/>
          </w:tcPr>
          <w:p w14:paraId="262FF4CF" w14:textId="3DB84C8D" w:rsidR="00E345CB" w:rsidRPr="00211FC2" w:rsidRDefault="00E345CB"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4B389C">
            <w:pPr>
              <w:spacing w:before="120" w:after="120" w:line="276" w:lineRule="auto"/>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4B389C">
            <w:pPr>
              <w:spacing w:before="120" w:after="120" w:line="276" w:lineRule="auto"/>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4B389C">
            <w:pPr>
              <w:spacing w:before="120" w:after="120" w:line="276" w:lineRule="auto"/>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4B389C">
            <w:pPr>
              <w:spacing w:before="120" w:after="120" w:line="276" w:lineRule="auto"/>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4B389C">
            <w:pPr>
              <w:spacing w:before="120" w:after="120" w:line="276" w:lineRule="auto"/>
              <w:rPr>
                <w:sz w:val="24"/>
                <w:szCs w:val="24"/>
              </w:rPr>
            </w:pPr>
            <w:r w:rsidRPr="004B389C">
              <w:rPr>
                <w:sz w:val="24"/>
                <w:szCs w:val="24"/>
              </w:rPr>
              <w:lastRenderedPageBreak/>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4B389C">
            <w:pPr>
              <w:spacing w:before="120" w:after="120" w:line="276" w:lineRule="auto"/>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E345CB" w:rsidRPr="00211FC2" w14:paraId="38CB2EFF" w14:textId="77777777" w:rsidTr="00E345CB">
        <w:tc>
          <w:tcPr>
            <w:tcW w:w="9061" w:type="dxa"/>
          </w:tcPr>
          <w:p w14:paraId="13EE51F7" w14:textId="344365A2" w:rsidR="00E345CB" w:rsidRPr="00211FC2" w:rsidRDefault="00E345CB"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4B389C">
            <w:pPr>
              <w:spacing w:before="120" w:after="120" w:line="276" w:lineRule="auto"/>
              <w:rPr>
                <w:color w:val="000000" w:themeColor="text1"/>
                <w:sz w:val="24"/>
                <w:szCs w:val="24"/>
              </w:rPr>
            </w:pPr>
            <w:r w:rsidRPr="004B389C">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EE0FB27"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4B389C">
            <w:pPr>
              <w:spacing w:before="120" w:after="120" w:line="276" w:lineRule="auto"/>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323BB18D" w14:textId="77777777" w:rsidTr="00152BE9">
        <w:tc>
          <w:tcPr>
            <w:tcW w:w="9061" w:type="dxa"/>
            <w:shd w:val="clear" w:color="auto" w:fill="E7E6E6" w:themeFill="background2"/>
          </w:tcPr>
          <w:p w14:paraId="286127AC" w14:textId="5624247E" w:rsidR="00152BE9" w:rsidRPr="00152BE9" w:rsidRDefault="00152BE9" w:rsidP="00E2058B">
            <w:pPr>
              <w:spacing w:before="120" w:after="120" w:line="23" w:lineRule="atLeast"/>
              <w:rPr>
                <w:color w:val="000000" w:themeColor="text1"/>
                <w:sz w:val="24"/>
                <w:szCs w:val="24"/>
                <w:highlight w:val="lightGray"/>
              </w:rPr>
            </w:pPr>
            <w:r w:rsidRPr="008E5584">
              <w:rPr>
                <w:sz w:val="24"/>
                <w:szCs w:val="24"/>
              </w:rPr>
              <w:t>Wspólne wskaźniki produktu</w:t>
            </w:r>
          </w:p>
        </w:tc>
      </w:tr>
      <w:tr w:rsidR="00152BE9" w:rsidRPr="00211FC2" w14:paraId="77DC4545" w14:textId="77777777" w:rsidTr="00E345CB">
        <w:tc>
          <w:tcPr>
            <w:tcW w:w="9061" w:type="dxa"/>
          </w:tcPr>
          <w:p w14:paraId="6C5AF0FF" w14:textId="36D49990" w:rsidR="00152BE9" w:rsidRPr="004B389C" w:rsidRDefault="00152BE9" w:rsidP="00E2058B">
            <w:pPr>
              <w:spacing w:before="120" w:after="120" w:line="23" w:lineRule="atLeast"/>
              <w:rPr>
                <w:color w:val="000000" w:themeColor="text1"/>
                <w:sz w:val="24"/>
                <w:szCs w:val="24"/>
              </w:rPr>
            </w:pPr>
            <w:r w:rsidRPr="00211FC2">
              <w:rPr>
                <w:b/>
                <w:bCs/>
                <w:color w:val="000000" w:themeColor="text1"/>
                <w:sz w:val="24"/>
                <w:szCs w:val="24"/>
              </w:rPr>
              <w:t>Nazwa wskaźnika</w:t>
            </w:r>
          </w:p>
        </w:tc>
      </w:tr>
      <w:tr w:rsidR="00152BE9" w:rsidRPr="00211FC2" w14:paraId="7F582CF2" w14:textId="77777777" w:rsidTr="00E345CB">
        <w:tc>
          <w:tcPr>
            <w:tcW w:w="9061" w:type="dxa"/>
          </w:tcPr>
          <w:p w14:paraId="2DA71EDF" w14:textId="10BAFF07"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biernych zawodowo objętych wsparciem w programie (osoby)</w:t>
            </w:r>
          </w:p>
        </w:tc>
      </w:tr>
      <w:tr w:rsidR="00152BE9" w:rsidRPr="00211FC2" w14:paraId="6C4EE2F9" w14:textId="77777777" w:rsidTr="00E345CB">
        <w:tc>
          <w:tcPr>
            <w:tcW w:w="9061" w:type="dxa"/>
          </w:tcPr>
          <w:p w14:paraId="2184521D" w14:textId="40763BE2" w:rsidR="00152BE9" w:rsidRPr="00152BE9"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5EDF5679" w14:textId="77777777" w:rsidTr="00E345CB">
        <w:tc>
          <w:tcPr>
            <w:tcW w:w="9061" w:type="dxa"/>
          </w:tcPr>
          <w:p w14:paraId="0CF30B46" w14:textId="308C22A8"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bierne zawodowo to osoby, które w danej chwili nie tworzą zasobów siły roboczej (tzn. nie są osobami pracującymi ani bezrobotnymi).</w:t>
            </w:r>
          </w:p>
          <w:p w14:paraId="63042171" w14:textId="5B1272EE"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pracujące definiowane są jak we wskaźniku: liczba osób pracujących, łącznie z prowadzącymi działalność na własny rachunek, objętych wsparciem w</w:t>
            </w:r>
            <w:r w:rsidR="00367A61">
              <w:rPr>
                <w:color w:val="000000" w:themeColor="text1"/>
                <w:sz w:val="24"/>
                <w:szCs w:val="24"/>
              </w:rPr>
              <w:t> </w:t>
            </w:r>
            <w:r w:rsidRPr="00152BE9">
              <w:rPr>
                <w:color w:val="000000" w:themeColor="text1"/>
                <w:sz w:val="24"/>
                <w:szCs w:val="24"/>
              </w:rPr>
              <w:t>programie (osoby).</w:t>
            </w:r>
          </w:p>
          <w:p w14:paraId="3083E1EA" w14:textId="16465ACF"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bezrobotne definiowane jak we wskaźniku: liczba osób bezrobotnych, w tym długotrwale bezrobotnych, objętych wsparciem w programie (osoby).</w:t>
            </w:r>
          </w:p>
          <w:p w14:paraId="4E7E9D22" w14:textId="77777777" w:rsidR="00152BE9" w:rsidRPr="00152BE9" w:rsidRDefault="00152BE9" w:rsidP="00E2058B">
            <w:pPr>
              <w:widowControl/>
              <w:autoSpaceDE/>
              <w:autoSpaceDN/>
              <w:adjustRightInd/>
              <w:spacing w:before="120" w:after="120" w:line="23" w:lineRule="atLeast"/>
              <w:jc w:val="both"/>
              <w:rPr>
                <w:color w:val="000000" w:themeColor="text1"/>
                <w:sz w:val="24"/>
                <w:szCs w:val="24"/>
              </w:rPr>
            </w:pPr>
            <w:r w:rsidRPr="00152BE9">
              <w:rPr>
                <w:color w:val="000000" w:themeColor="text1"/>
                <w:sz w:val="24"/>
                <w:szCs w:val="24"/>
              </w:rPr>
              <w:t>Za osoby bierne zawodowo uznawani są m.in.:</w:t>
            </w:r>
          </w:p>
          <w:p w14:paraId="6A5EF3FF"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lastRenderedPageBreak/>
              <w:t>studenci studiów stacjonarnych, chyba że są już zatrudnieni (również na część etatu) to wówczas powinni być wykazywani jako osoby pracujące</w:t>
            </w:r>
          </w:p>
          <w:p w14:paraId="57C364E3"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dzieci i młodzież do 18 r. ż. pobierające naukę, o ile nie spełniają przesłanek, na podstawie których można je zaliczyć do osób bezrobotnych lub pracujących.</w:t>
            </w:r>
          </w:p>
          <w:p w14:paraId="7E023DD7"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493F5547"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Status na rynku pracy jest określany w dniu rozpoczęcia uczestnictwa w projekcie, tj. w momencie rozpoczęcia udziału w pierwszej formie wsparcia w projekcie.</w:t>
            </w:r>
          </w:p>
          <w:p w14:paraId="6503D3C0" w14:textId="50FDA75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Definicja opracowana na podstawie: (§20) Statystyki polityki rynku prac – metodologia 2018, Komisja Europejska, Dyrekcja Generalna ds. Zatrudnienia, Spraw Społecznych i Włączenia Społecznego</w:t>
            </w:r>
            <w:r>
              <w:rPr>
                <w:color w:val="000000" w:themeColor="text1"/>
                <w:sz w:val="24"/>
                <w:szCs w:val="24"/>
              </w:rPr>
              <w:t>.</w:t>
            </w:r>
          </w:p>
        </w:tc>
      </w:tr>
      <w:tr w:rsidR="00152BE9" w:rsidRPr="00211FC2" w14:paraId="1EFDF790" w14:textId="77777777" w:rsidTr="00E345CB">
        <w:tc>
          <w:tcPr>
            <w:tcW w:w="9061" w:type="dxa"/>
          </w:tcPr>
          <w:p w14:paraId="647CB378" w14:textId="6C5689C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lastRenderedPageBreak/>
              <w:t>Nazwa wskaźnika</w:t>
            </w:r>
          </w:p>
        </w:tc>
      </w:tr>
      <w:tr w:rsidR="00152BE9" w:rsidRPr="00211FC2" w14:paraId="001FD17D" w14:textId="77777777" w:rsidTr="00E345CB">
        <w:tc>
          <w:tcPr>
            <w:tcW w:w="9061" w:type="dxa"/>
          </w:tcPr>
          <w:p w14:paraId="1C1581C3" w14:textId="5141D244"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w wieku 55 lat i więcej objętych wsparciem w programie (osoby)</w:t>
            </w:r>
          </w:p>
        </w:tc>
      </w:tr>
      <w:tr w:rsidR="00152BE9" w:rsidRPr="00211FC2" w14:paraId="36BB8BDE" w14:textId="77777777" w:rsidTr="00E345CB">
        <w:tc>
          <w:tcPr>
            <w:tcW w:w="9061" w:type="dxa"/>
          </w:tcPr>
          <w:p w14:paraId="2E1A0195" w14:textId="651CC00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3631AD0F" w14:textId="77777777" w:rsidTr="00E345CB">
        <w:tc>
          <w:tcPr>
            <w:tcW w:w="9061" w:type="dxa"/>
          </w:tcPr>
          <w:p w14:paraId="004149BC"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w wieku 55 lat i więcej, tj. od dnia, w którym przypadają 55 urodziny, objęte wsparciem EFS+.</w:t>
            </w:r>
          </w:p>
          <w:p w14:paraId="05981386" w14:textId="63B65DC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t>
            </w:r>
            <w:r w:rsidRPr="009200D0">
              <w:rPr>
                <w:color w:val="000000" w:themeColor="text1"/>
                <w:sz w:val="24"/>
                <w:szCs w:val="24"/>
              </w:rPr>
              <w:lastRenderedPageBreak/>
              <w:t xml:space="preserve">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1C735A08" w14:textId="77777777" w:rsidTr="00C842D7">
        <w:tc>
          <w:tcPr>
            <w:tcW w:w="9061" w:type="dxa"/>
          </w:tcPr>
          <w:p w14:paraId="4079D1D3" w14:textId="1CE2A62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5A7CF575" w14:textId="77777777" w:rsidTr="00392520">
        <w:tc>
          <w:tcPr>
            <w:tcW w:w="9061" w:type="dxa"/>
          </w:tcPr>
          <w:p w14:paraId="76ACB3DC" w14:textId="4996C5E8" w:rsidR="00152BE9" w:rsidRPr="00211FC2" w:rsidRDefault="00152BE9" w:rsidP="00152BE9">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152BE9">
            <w:pPr>
              <w:tabs>
                <w:tab w:val="left" w:pos="499"/>
              </w:tabs>
              <w:spacing w:before="120" w:after="120" w:line="276" w:lineRule="auto"/>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w:t>
            </w:r>
            <w:r w:rsidRPr="009200D0">
              <w:rPr>
                <w:color w:val="000000" w:themeColor="text1"/>
                <w:sz w:val="24"/>
                <w:szCs w:val="24"/>
              </w:rPr>
              <w:lastRenderedPageBreak/>
              <w:t xml:space="preserve">tego wskaźnika tj. szacowanie lub zbieranie danych osobowych dot. tego wskaźnika od uczestników. </w:t>
            </w:r>
          </w:p>
          <w:p w14:paraId="0422E82F"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43BB06CF" w14:textId="77777777" w:rsidTr="00C842D7">
        <w:tc>
          <w:tcPr>
            <w:tcW w:w="9061" w:type="dxa"/>
          </w:tcPr>
          <w:p w14:paraId="609EB60D" w14:textId="71B8F6C7" w:rsidR="00152BE9" w:rsidRPr="00211FC2" w:rsidRDefault="00152BE9"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18732279" w14:textId="77777777" w:rsidTr="00C842D7">
        <w:tc>
          <w:tcPr>
            <w:tcW w:w="9061" w:type="dxa"/>
          </w:tcPr>
          <w:p w14:paraId="24593EF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Zasady dotyczące możliwości wykorzystania wiarygodnych szacunków przez </w:t>
            </w:r>
            <w:r w:rsidRPr="009200D0">
              <w:rPr>
                <w:color w:val="000000" w:themeColor="text1"/>
                <w:sz w:val="24"/>
                <w:szCs w:val="24"/>
              </w:rPr>
              <w:lastRenderedPageBreak/>
              <w:t>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253E600D" w14:textId="77777777" w:rsidTr="00C842D7">
        <w:tc>
          <w:tcPr>
            <w:tcW w:w="9061" w:type="dxa"/>
          </w:tcPr>
          <w:p w14:paraId="2DC97947" w14:textId="3E971FD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43325DEF"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4.</w:t>
            </w:r>
            <w:r w:rsidRPr="00585E42">
              <w:rPr>
                <w:color w:val="000000" w:themeColor="text1"/>
                <w:sz w:val="24"/>
                <w:szCs w:val="24"/>
              </w:rPr>
              <w:tab/>
              <w:t xml:space="preserve">Nieodpowiednie warunki mieszkaniowe, w tym osoby zamieszkujące konstrukcje tymczasowe/nietrwałe, mieszkania </w:t>
            </w:r>
            <w:proofErr w:type="spellStart"/>
            <w:r w:rsidRPr="00585E42">
              <w:rPr>
                <w:color w:val="000000" w:themeColor="text1"/>
                <w:sz w:val="24"/>
                <w:szCs w:val="24"/>
              </w:rPr>
              <w:t>substandardowe</w:t>
            </w:r>
            <w:proofErr w:type="spellEnd"/>
            <w:r w:rsidRPr="00585E42">
              <w:rPr>
                <w:color w:val="000000" w:themeColor="text1"/>
                <w:sz w:val="24"/>
                <w:szCs w:val="24"/>
              </w:rPr>
              <w:t xml:space="preserve"> - lokale nienadające się do zamieszkania wg standardu krajowego, w warunkach skrajnego przeludnienia;</w:t>
            </w:r>
          </w:p>
          <w:p w14:paraId="343D6CB2" w14:textId="1B327234"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lastRenderedPageBreak/>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236F21C1" w14:textId="7954036A"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8"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Przynależność do grupy osób pochodzących z obszarów wiejskich określana jest </w:t>
            </w:r>
            <w:r w:rsidRPr="00920EFA">
              <w:rPr>
                <w:rFonts w:eastAsia="Calibri"/>
                <w:color w:val="000000" w:themeColor="text1"/>
                <w:sz w:val="24"/>
                <w:szCs w:val="24"/>
              </w:rPr>
              <w:lastRenderedPageBreak/>
              <w:t>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3C7A3F">
      <w:pPr>
        <w:pStyle w:val="Akapitzlist"/>
        <w:numPr>
          <w:ilvl w:val="0"/>
          <w:numId w:val="14"/>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lastRenderedPageBreak/>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AC5477" w:rsidRPr="00211FC2" w14:paraId="3BAEA4D8" w14:textId="77777777" w:rsidTr="002F1D3C">
        <w:tc>
          <w:tcPr>
            <w:tcW w:w="9061" w:type="dxa"/>
            <w:shd w:val="clear" w:color="auto" w:fill="E7E6E6" w:themeFill="background2"/>
          </w:tcPr>
          <w:p w14:paraId="1D78BB1A" w14:textId="0AE4CE4B"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0757F5">
              <w:rPr>
                <w:color w:val="000000" w:themeColor="text1"/>
                <w:sz w:val="24"/>
                <w:szCs w:val="24"/>
              </w:rPr>
              <w:t>g</w:t>
            </w:r>
            <w:r w:rsidR="007B7F52" w:rsidRPr="00211FC2">
              <w:rPr>
                <w:color w:val="000000" w:themeColor="text1"/>
                <w:sz w:val="24"/>
                <w:szCs w:val="24"/>
              </w:rPr>
              <w:t>)</w:t>
            </w:r>
          </w:p>
        </w:tc>
      </w:tr>
      <w:bookmarkEnd w:id="52"/>
      <w:tr w:rsidR="00A66BA2" w:rsidRPr="00211FC2" w14:paraId="0DC3B3D4" w14:textId="77777777" w:rsidTr="00A16E39">
        <w:tc>
          <w:tcPr>
            <w:tcW w:w="9061" w:type="dxa"/>
          </w:tcPr>
          <w:p w14:paraId="0C35F9FA" w14:textId="6F4EA2C8"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Nazwa wskaźnika</w:t>
            </w:r>
            <w:bookmarkStart w:id="53" w:name="_Toc419070657"/>
            <w:bookmarkStart w:id="54" w:name="_Toc1606136434"/>
            <w:bookmarkStart w:id="55" w:name="_Toc1161199886"/>
            <w:bookmarkStart w:id="56" w:name="_Toc252166674"/>
            <w:bookmarkStart w:id="57" w:name="_Toc749859756"/>
            <w:bookmarkStart w:id="58" w:name="_Toc1339656030"/>
            <w:bookmarkStart w:id="59" w:name="_Toc140451075"/>
            <w:bookmarkStart w:id="60" w:name="_Toc446280501"/>
            <w:bookmarkStart w:id="61" w:name="_Toc840178205"/>
            <w:bookmarkStart w:id="62" w:name="_Toc94780252"/>
            <w:bookmarkStart w:id="63" w:name="_Toc137549528"/>
            <w:r w:rsidRPr="00661BA1">
              <w:rPr>
                <w:b/>
                <w:bCs/>
              </w:rPr>
              <w:t xml:space="preserve"> </w:t>
            </w:r>
            <w:bookmarkEnd w:id="53"/>
            <w:bookmarkEnd w:id="54"/>
            <w:bookmarkEnd w:id="55"/>
            <w:bookmarkEnd w:id="56"/>
            <w:bookmarkEnd w:id="57"/>
            <w:bookmarkEnd w:id="58"/>
            <w:bookmarkEnd w:id="59"/>
            <w:bookmarkEnd w:id="60"/>
            <w:bookmarkEnd w:id="61"/>
            <w:bookmarkEnd w:id="62"/>
            <w:bookmarkEnd w:id="63"/>
          </w:p>
        </w:tc>
      </w:tr>
      <w:tr w:rsidR="00A66BA2" w:rsidRPr="00211FC2" w14:paraId="52C48FA4" w14:textId="77777777" w:rsidTr="00A16E39">
        <w:tc>
          <w:tcPr>
            <w:tcW w:w="9061" w:type="dxa"/>
          </w:tcPr>
          <w:p w14:paraId="6E191196" w14:textId="2AD0A782" w:rsidR="00A66BA2" w:rsidRPr="001D4F2A" w:rsidRDefault="000E56F5"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sidR="001F67EF">
              <w:rPr>
                <w:spacing w:val="-1"/>
                <w:sz w:val="24"/>
                <w:szCs w:val="24"/>
              </w:rPr>
              <w:t xml:space="preserve"> (osoby)</w:t>
            </w:r>
          </w:p>
        </w:tc>
      </w:tr>
      <w:tr w:rsidR="00A66BA2" w:rsidRPr="00211FC2" w14:paraId="53939A78" w14:textId="77777777" w:rsidTr="002F1D3C">
        <w:tc>
          <w:tcPr>
            <w:tcW w:w="9061" w:type="dxa"/>
          </w:tcPr>
          <w:p w14:paraId="59C77300" w14:textId="77777777"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1F67EF" w:rsidRPr="00211FC2" w14:paraId="5C946FA6" w14:textId="77777777" w:rsidTr="002F1D3C">
        <w:tc>
          <w:tcPr>
            <w:tcW w:w="9061" w:type="dxa"/>
          </w:tcPr>
          <w:p w14:paraId="01F43C1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kwalifikacje lub kompetencje po opuszczeniu projektu. </w:t>
            </w:r>
          </w:p>
          <w:p w14:paraId="11B0EE48" w14:textId="4523FFA4"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to określony zestaw efektów uczenia się w zakresie wiedzy, umiejętności oraz kompetencji społecznych nabytych w drodze edukacji formalnej, edukacji </w:t>
            </w:r>
            <w:proofErr w:type="spellStart"/>
            <w:r w:rsidRPr="000757F5">
              <w:rPr>
                <w:sz w:val="24"/>
                <w:szCs w:val="24"/>
              </w:rPr>
              <w:t>pozaformalnej</w:t>
            </w:r>
            <w:proofErr w:type="spellEnd"/>
            <w:r w:rsidRPr="000757F5">
              <w:rPr>
                <w:sz w:val="24"/>
                <w:szCs w:val="24"/>
              </w:rPr>
              <w:t xml:space="preserve"> lub poprzez uczenie się nieformalne, zgodnych z</w:t>
            </w:r>
            <w:r w:rsidR="001E15EE">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p>
          <w:p w14:paraId="4BB20A0A"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zgodnie z</w:t>
            </w:r>
            <w:r w:rsidR="001E15EE">
              <w:rPr>
                <w:sz w:val="24"/>
                <w:szCs w:val="24"/>
              </w:rPr>
              <w:t> </w:t>
            </w:r>
            <w:r w:rsidRPr="000757F5">
              <w:rPr>
                <w:sz w:val="24"/>
                <w:szCs w:val="24"/>
              </w:rPr>
              <w:t>ustawą z dnia 22 grudnia 2015 r. o Zintegrowanym Systemie Kwalifikacji,</w:t>
            </w:r>
          </w:p>
          <w:p w14:paraId="64F996AC"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na mocy innych przepisów prawa,</w:t>
            </w:r>
          </w:p>
          <w:p w14:paraId="561636D3"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wydawania dokumentów potwierdzających uzyskanie kwalifikacji, w tym w zawodzie,</w:t>
            </w:r>
          </w:p>
          <w:p w14:paraId="2D421D89" w14:textId="77777777" w:rsidR="000757F5" w:rsidRPr="000757F5" w:rsidRDefault="000757F5" w:rsidP="000757F5">
            <w:pPr>
              <w:tabs>
                <w:tab w:val="left" w:pos="499"/>
              </w:tabs>
              <w:spacing w:before="120" w:after="120" w:line="276" w:lineRule="auto"/>
              <w:rPr>
                <w:sz w:val="24"/>
                <w:szCs w:val="24"/>
              </w:rPr>
            </w:pPr>
            <w:r w:rsidRPr="000757F5">
              <w:rPr>
                <w:sz w:val="24"/>
                <w:szCs w:val="24"/>
              </w:rPr>
              <w:t>organy władz publicznych lub samorządów zawodowych, uprawnione do wydawania dokumentów potwierdzających kwalifikację na podstawie ustawy lub rozporządzenia.</w:t>
            </w:r>
          </w:p>
          <w:p w14:paraId="5C73E54A" w14:textId="77777777" w:rsidR="000757F5" w:rsidRPr="000757F5" w:rsidRDefault="000757F5"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w:t>
            </w:r>
            <w:r w:rsidRPr="000757F5">
              <w:rPr>
                <w:sz w:val="24"/>
                <w:szCs w:val="24"/>
              </w:rPr>
              <w:lastRenderedPageBreak/>
              <w:t xml:space="preserve">ustalonymi dla danej kompetencji, odnoszącymi się w szczególności do składających się na nią efektów uczenia się. </w:t>
            </w:r>
          </w:p>
          <w:p w14:paraId="01E98F2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0757F5" w:rsidRPr="000757F5" w:rsidRDefault="000757F5"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0757F5" w:rsidRPr="000757F5" w:rsidRDefault="000757F5"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sidR="001E15EE">
              <w:rPr>
                <w:sz w:val="24"/>
                <w:szCs w:val="24"/>
              </w:rPr>
              <w:t> </w:t>
            </w:r>
            <w:r w:rsidRPr="000757F5">
              <w:rPr>
                <w:sz w:val="24"/>
                <w:szCs w:val="24"/>
              </w:rPr>
              <w:t>metodach weryfikacji tych efektów). Sposób (miejsce) definiowania informacji wymaganych w etapie II powinien zostać określony przez instytucję organizującą konkurs/przeprowadzającą nabór projektów,</w:t>
            </w:r>
          </w:p>
          <w:p w14:paraId="12A2402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0757F5" w:rsidRPr="000757F5" w:rsidRDefault="000757F5"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sidR="001E15EE">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kompetencje społeczne nabyte w edukacji formalnej, edukacji </w:t>
            </w:r>
            <w:proofErr w:type="spellStart"/>
            <w:r w:rsidRPr="000757F5">
              <w:rPr>
                <w:sz w:val="24"/>
                <w:szCs w:val="24"/>
              </w:rPr>
              <w:t>pozaformalnej</w:t>
            </w:r>
            <w:proofErr w:type="spellEnd"/>
            <w:r w:rsidRPr="000757F5">
              <w:rPr>
                <w:sz w:val="24"/>
                <w:szCs w:val="24"/>
              </w:rPr>
              <w:t xml:space="preserve"> lub poprzez uczenie się nieformalne, zgodne z ustalonymi dla danej kwalifikacji lub kompetencji wymaganiami. </w:t>
            </w:r>
          </w:p>
          <w:p w14:paraId="0B2DB36B"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0757F5" w:rsidRPr="000757F5" w:rsidRDefault="000757F5"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sidR="001E15EE">
              <w:rPr>
                <w:sz w:val="24"/>
                <w:szCs w:val="24"/>
              </w:rPr>
              <w:t> </w:t>
            </w:r>
            <w:r w:rsidRPr="000757F5">
              <w:rPr>
                <w:sz w:val="24"/>
                <w:szCs w:val="24"/>
              </w:rPr>
              <w:t>ciągu czterech tygodni, które minęły od momentu zakończenia udziału w</w:t>
            </w:r>
            <w:r w:rsidR="001E15EE">
              <w:rPr>
                <w:sz w:val="24"/>
                <w:szCs w:val="24"/>
              </w:rPr>
              <w:t> </w:t>
            </w:r>
            <w:r w:rsidRPr="000757F5">
              <w:rPr>
                <w:sz w:val="24"/>
                <w:szCs w:val="24"/>
              </w:rPr>
              <w:t>projekcie.</w:t>
            </w:r>
          </w:p>
          <w:p w14:paraId="4A91D275" w14:textId="77777777" w:rsidR="000757F5" w:rsidRPr="000757F5" w:rsidRDefault="000757F5"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1F67EF" w:rsidRPr="000757F5" w:rsidRDefault="000757F5" w:rsidP="00A66BA2">
            <w:pPr>
              <w:tabs>
                <w:tab w:val="left" w:pos="499"/>
              </w:tabs>
              <w:spacing w:before="120" w:after="120" w:line="276" w:lineRule="auto"/>
              <w:rPr>
                <w:sz w:val="24"/>
                <w:szCs w:val="24"/>
              </w:rPr>
            </w:pPr>
            <w:r w:rsidRPr="000757F5">
              <w:rPr>
                <w:sz w:val="24"/>
                <w:szCs w:val="24"/>
              </w:rPr>
              <w:lastRenderedPageBreak/>
              <w:t>Dodatkowe informacje na temat monitorowania uzyskiwania kwalifikacji i</w:t>
            </w:r>
            <w:r w:rsidR="001E15EE">
              <w:rPr>
                <w:sz w:val="24"/>
                <w:szCs w:val="24"/>
              </w:rPr>
              <w:t> </w:t>
            </w:r>
            <w:r w:rsidRPr="000757F5">
              <w:rPr>
                <w:sz w:val="24"/>
                <w:szCs w:val="24"/>
              </w:rPr>
              <w:t>kompetencji w ramach projektów współfinansowanych z EFS+ zawarte są w</w:t>
            </w:r>
            <w:r w:rsidR="001E15EE">
              <w:rPr>
                <w:sz w:val="24"/>
                <w:szCs w:val="24"/>
              </w:rPr>
              <w:t> </w:t>
            </w:r>
            <w:r w:rsidRPr="000757F5">
              <w:rPr>
                <w:sz w:val="24"/>
                <w:szCs w:val="24"/>
              </w:rPr>
              <w:t>załączniku nr 2 do Wytycznych w zakresie monitorowania postępu rzeczowego realizacji programów operacyjnych na lata 2021-2027.</w:t>
            </w:r>
          </w:p>
        </w:tc>
      </w:tr>
      <w:tr w:rsidR="001F67EF" w:rsidRPr="00211FC2" w14:paraId="25305D74" w14:textId="77777777" w:rsidTr="002F1D3C">
        <w:tc>
          <w:tcPr>
            <w:tcW w:w="9061" w:type="dxa"/>
          </w:tcPr>
          <w:p w14:paraId="1F268E5E" w14:textId="70CAFD75" w:rsidR="001F67EF" w:rsidRPr="00661BA1" w:rsidRDefault="001F67EF" w:rsidP="00A66BA2">
            <w:pPr>
              <w:tabs>
                <w:tab w:val="left" w:pos="499"/>
              </w:tabs>
              <w:spacing w:before="120" w:after="120" w:line="276" w:lineRule="auto"/>
              <w:rPr>
                <w:b/>
                <w:bCs/>
                <w:sz w:val="24"/>
                <w:szCs w:val="24"/>
              </w:rPr>
            </w:pPr>
            <w:r w:rsidRPr="001F67EF">
              <w:rPr>
                <w:b/>
                <w:bCs/>
                <w:sz w:val="24"/>
                <w:szCs w:val="24"/>
              </w:rPr>
              <w:lastRenderedPageBreak/>
              <w:t>Nazwa wskaźnika</w:t>
            </w:r>
          </w:p>
        </w:tc>
      </w:tr>
      <w:tr w:rsidR="001F67EF" w:rsidRPr="00211FC2" w14:paraId="53ADED06" w14:textId="77777777" w:rsidTr="002F1D3C">
        <w:tc>
          <w:tcPr>
            <w:tcW w:w="9061" w:type="dxa"/>
          </w:tcPr>
          <w:p w14:paraId="113FB275" w14:textId="209F7859" w:rsidR="001F67EF" w:rsidRPr="000757F5" w:rsidRDefault="001F67EF" w:rsidP="00A66BA2">
            <w:pPr>
              <w:tabs>
                <w:tab w:val="left" w:pos="499"/>
              </w:tabs>
              <w:spacing w:before="120" w:after="120" w:line="276" w:lineRule="auto"/>
              <w:rPr>
                <w:sz w:val="24"/>
                <w:szCs w:val="24"/>
              </w:rPr>
            </w:pPr>
            <w:r w:rsidRPr="000757F5">
              <w:rPr>
                <w:sz w:val="24"/>
                <w:szCs w:val="24"/>
              </w:rPr>
              <w:t>Liczba osób, które uzyskały kwalifikacje cyfrowe po opuszczeniu programu (osoby)</w:t>
            </w:r>
          </w:p>
        </w:tc>
      </w:tr>
      <w:tr w:rsidR="001F67EF" w:rsidRPr="00211FC2" w14:paraId="5B30E6A4" w14:textId="77777777" w:rsidTr="002F1D3C">
        <w:tc>
          <w:tcPr>
            <w:tcW w:w="9061" w:type="dxa"/>
          </w:tcPr>
          <w:p w14:paraId="2E826386" w14:textId="01572ACC" w:rsidR="001F67EF" w:rsidRPr="001F67EF" w:rsidRDefault="001F67EF" w:rsidP="00A66BA2">
            <w:pPr>
              <w:tabs>
                <w:tab w:val="left" w:pos="499"/>
              </w:tabs>
              <w:spacing w:before="120" w:after="120" w:line="276" w:lineRule="auto"/>
              <w:rPr>
                <w:b/>
                <w:bCs/>
                <w:sz w:val="24"/>
                <w:szCs w:val="24"/>
              </w:rPr>
            </w:pPr>
            <w:r w:rsidRPr="001F67EF">
              <w:rPr>
                <w:b/>
                <w:bCs/>
                <w:sz w:val="24"/>
                <w:szCs w:val="24"/>
              </w:rPr>
              <w:t>Definicja wskaźnika</w:t>
            </w:r>
          </w:p>
        </w:tc>
      </w:tr>
      <w:tr w:rsidR="001F67EF" w:rsidRPr="00211FC2" w14:paraId="4969E294" w14:textId="77777777" w:rsidTr="002F1D3C">
        <w:tc>
          <w:tcPr>
            <w:tcW w:w="9061" w:type="dxa"/>
          </w:tcPr>
          <w:p w14:paraId="05B9AC7A"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mierzy liczbę osób dorosłych, które w wyniku wsparcia EFS+ uzyskały kwalifikacje lub nabyły kompetencje w obszarze cyfrowym.</w:t>
            </w:r>
          </w:p>
          <w:p w14:paraId="3F1A6B95" w14:textId="77777777" w:rsidR="001F67EF" w:rsidRPr="001F67EF" w:rsidRDefault="001F67EF" w:rsidP="001F67EF">
            <w:pPr>
              <w:tabs>
                <w:tab w:val="left" w:pos="499"/>
              </w:tabs>
              <w:spacing w:before="120" w:after="120" w:line="276" w:lineRule="auto"/>
              <w:rPr>
                <w:sz w:val="24"/>
                <w:szCs w:val="24"/>
              </w:rPr>
            </w:pPr>
            <w:r w:rsidRPr="001F67EF">
              <w:rPr>
                <w:sz w:val="24"/>
                <w:szCs w:val="24"/>
              </w:rPr>
              <w:t xml:space="preserve">Definicja i sposób pomiaru jak we wskaźniku wspólnym: </w:t>
            </w:r>
            <w:r w:rsidRPr="001F67EF">
              <w:rPr>
                <w:i/>
                <w:iCs/>
                <w:sz w:val="24"/>
                <w:szCs w:val="24"/>
              </w:rPr>
              <w:t>liczba osób, które uzyskały kwalifikacje po opuszczeniu programu (osoby)</w:t>
            </w:r>
            <w:r w:rsidRPr="001F67EF">
              <w:rPr>
                <w:sz w:val="24"/>
                <w:szCs w:val="24"/>
              </w:rPr>
              <w:t xml:space="preserve"> – z zastrzeżeniem, że we wskaźniku należy uwzględniać wyłącznie kwalifikacje lub kompetencje cyfrowe.</w:t>
            </w:r>
          </w:p>
          <w:p w14:paraId="739E13DC" w14:textId="13B45198" w:rsidR="001F67EF" w:rsidRPr="001F67EF" w:rsidRDefault="001F67EF" w:rsidP="001F67EF">
            <w:pPr>
              <w:tabs>
                <w:tab w:val="left" w:pos="499"/>
              </w:tabs>
              <w:spacing w:before="120" w:after="120" w:line="276" w:lineRule="auto"/>
              <w:rPr>
                <w:sz w:val="24"/>
                <w:szCs w:val="24"/>
              </w:rPr>
            </w:pPr>
            <w:r w:rsidRPr="001F67EF">
              <w:rPr>
                <w:sz w:val="24"/>
                <w:szCs w:val="24"/>
              </w:rPr>
              <w:t>Uwaga – kwalifikacje/kompetencje cyfrowe, nabywane w wyniku uczestnictwa w</w:t>
            </w:r>
            <w:r w:rsidR="001E15EE">
              <w:rPr>
                <w:sz w:val="24"/>
                <w:szCs w:val="24"/>
              </w:rPr>
              <w:t> </w:t>
            </w:r>
            <w:r w:rsidRPr="001F67EF">
              <w:rPr>
                <w:sz w:val="24"/>
                <w:szCs w:val="24"/>
              </w:rPr>
              <w:t xml:space="preserve">projektach w celu szczegółowym g), powinny być uwzględniane również we wskaźniku </w:t>
            </w:r>
            <w:r w:rsidRPr="001F67EF">
              <w:rPr>
                <w:i/>
                <w:iCs/>
                <w:sz w:val="24"/>
                <w:szCs w:val="24"/>
              </w:rPr>
              <w:t xml:space="preserve">liczba osób, które uzyskały kwalifikacje po opuszczeniu programu </w:t>
            </w:r>
            <w:r w:rsidRPr="001F67EF">
              <w:rPr>
                <w:sz w:val="24"/>
                <w:szCs w:val="24"/>
              </w:rPr>
              <w:t>(osoby).</w:t>
            </w:r>
          </w:p>
          <w:p w14:paraId="126CCBDF"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jest podrzędny w stosunku do wskaźnika EECR03.</w:t>
            </w:r>
          </w:p>
          <w:p w14:paraId="72D5E1AE" w14:textId="77777777" w:rsidR="001F67EF" w:rsidRPr="001F67EF" w:rsidRDefault="001F67EF" w:rsidP="001F67EF">
            <w:pPr>
              <w:tabs>
                <w:tab w:val="left" w:pos="499"/>
              </w:tabs>
              <w:spacing w:before="120" w:after="120" w:line="276" w:lineRule="auto"/>
              <w:rPr>
                <w:sz w:val="24"/>
                <w:szCs w:val="24"/>
              </w:rPr>
            </w:pPr>
            <w:r w:rsidRPr="001F67EF">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1F67EF">
              <w:rPr>
                <w:sz w:val="24"/>
                <w:szCs w:val="24"/>
              </w:rPr>
              <w:t>DigComp</w:t>
            </w:r>
            <w:proofErr w:type="spellEnd"/>
            <w:r w:rsidRPr="001F67EF">
              <w:rPr>
                <w:sz w:val="24"/>
                <w:szCs w:val="24"/>
              </w:rPr>
              <w:t>).</w:t>
            </w:r>
            <w:r w:rsidRPr="001F67EF">
              <w:rPr>
                <w:sz w:val="24"/>
                <w:szCs w:val="24"/>
                <w:vertAlign w:val="superscript"/>
              </w:rPr>
              <w:footnoteReference w:id="3"/>
            </w:r>
          </w:p>
          <w:p w14:paraId="123FCED8" w14:textId="77777777" w:rsidR="001F67EF" w:rsidRPr="001F67EF" w:rsidRDefault="001F67EF" w:rsidP="001F67EF">
            <w:pPr>
              <w:tabs>
                <w:tab w:val="left" w:pos="499"/>
              </w:tabs>
              <w:spacing w:before="120" w:after="120" w:line="276" w:lineRule="auto"/>
              <w:rPr>
                <w:sz w:val="24"/>
                <w:szCs w:val="24"/>
              </w:rPr>
            </w:pPr>
            <w:r w:rsidRPr="001F67EF">
              <w:rPr>
                <w:sz w:val="24"/>
                <w:szCs w:val="24"/>
              </w:rPr>
              <w:t>We wskaźniku należy monitorować osoby, które w wyniku wsparcia EFS+ (np. udziału w szkoleniu) nabyły kwalifikacje lub podniosły kompetencje w obszarze cyfrowym tj.:</w:t>
            </w:r>
          </w:p>
          <w:p w14:paraId="21B7580F" w14:textId="77777777" w:rsidR="001F67EF" w:rsidRDefault="001F67EF" w:rsidP="003C7A3F">
            <w:pPr>
              <w:numPr>
                <w:ilvl w:val="0"/>
                <w:numId w:val="102"/>
              </w:numPr>
              <w:tabs>
                <w:tab w:val="left" w:pos="499"/>
              </w:tabs>
              <w:spacing w:before="120" w:after="120" w:line="276" w:lineRule="auto"/>
              <w:rPr>
                <w:sz w:val="24"/>
                <w:szCs w:val="24"/>
              </w:rPr>
            </w:pPr>
            <w:r w:rsidRPr="001F67EF">
              <w:rPr>
                <w:sz w:val="24"/>
                <w:szCs w:val="24"/>
              </w:rPr>
              <w:t xml:space="preserve">nabyły jedną lub więcej kompetencji cyfrowych, określonych w Ramie </w:t>
            </w:r>
            <w:proofErr w:type="spellStart"/>
            <w:r w:rsidRPr="001F67EF">
              <w:rPr>
                <w:sz w:val="24"/>
                <w:szCs w:val="24"/>
              </w:rPr>
              <w:t>DigComp</w:t>
            </w:r>
            <w:proofErr w:type="spellEnd"/>
            <w:r w:rsidRPr="001F67EF">
              <w:rPr>
                <w:sz w:val="24"/>
                <w:szCs w:val="24"/>
              </w:rPr>
              <w:t xml:space="preserve"> (potwierdzone co najmniej w procesie walidacji) lub</w:t>
            </w:r>
          </w:p>
          <w:p w14:paraId="44DF6671" w14:textId="07AAFB68" w:rsidR="001F67EF" w:rsidRPr="001F67EF" w:rsidRDefault="001F67EF" w:rsidP="003C7A3F">
            <w:pPr>
              <w:numPr>
                <w:ilvl w:val="0"/>
                <w:numId w:val="102"/>
              </w:numPr>
              <w:tabs>
                <w:tab w:val="left" w:pos="499"/>
              </w:tabs>
              <w:spacing w:before="120" w:after="120" w:line="276" w:lineRule="auto"/>
              <w:rPr>
                <w:sz w:val="24"/>
                <w:szCs w:val="24"/>
              </w:rPr>
            </w:pPr>
            <w:r w:rsidRPr="001F67EF">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w:t>
            </w:r>
            <w:r w:rsidR="001E15EE">
              <w:rPr>
                <w:sz w:val="24"/>
                <w:szCs w:val="24"/>
              </w:rPr>
              <w:t> </w:t>
            </w:r>
            <w:r w:rsidRPr="001F67EF">
              <w:rPr>
                <w:sz w:val="24"/>
                <w:szCs w:val="24"/>
              </w:rPr>
              <w:t>efektach uczenia się oraz dla tych efektów określono kryteria walidacji i sposoby ich weryfikacji, a uczestnik przeszedł pozytywnie tę weryfikację i jej wynik jest wskazany na certyfikacie.</w:t>
            </w:r>
          </w:p>
        </w:tc>
      </w:tr>
      <w:tr w:rsidR="000757F5" w:rsidRPr="00211FC2" w14:paraId="28ED1E19" w14:textId="77777777" w:rsidTr="002F1D3C">
        <w:tc>
          <w:tcPr>
            <w:tcW w:w="9061" w:type="dxa"/>
          </w:tcPr>
          <w:p w14:paraId="6436E49C" w14:textId="033E0807" w:rsidR="000757F5" w:rsidRPr="001F67EF" w:rsidRDefault="000757F5" w:rsidP="001F67EF">
            <w:pPr>
              <w:tabs>
                <w:tab w:val="left" w:pos="499"/>
              </w:tabs>
              <w:spacing w:before="120" w:after="120" w:line="276" w:lineRule="auto"/>
              <w:rPr>
                <w:sz w:val="24"/>
                <w:szCs w:val="24"/>
              </w:rPr>
            </w:pPr>
            <w:r w:rsidRPr="000757F5">
              <w:rPr>
                <w:b/>
                <w:bCs/>
                <w:sz w:val="24"/>
                <w:szCs w:val="24"/>
              </w:rPr>
              <w:t>Nazwa wskaźnika</w:t>
            </w:r>
          </w:p>
        </w:tc>
      </w:tr>
      <w:tr w:rsidR="000757F5" w:rsidRPr="00211FC2" w14:paraId="41E66F42" w14:textId="77777777" w:rsidTr="002F1D3C">
        <w:tc>
          <w:tcPr>
            <w:tcW w:w="9061" w:type="dxa"/>
          </w:tcPr>
          <w:p w14:paraId="10C3C843" w14:textId="24ADE911" w:rsidR="000757F5" w:rsidRPr="001F67EF" w:rsidRDefault="000757F5" w:rsidP="001F67EF">
            <w:pPr>
              <w:tabs>
                <w:tab w:val="left" w:pos="499"/>
              </w:tabs>
              <w:spacing w:before="120" w:after="120" w:line="276" w:lineRule="auto"/>
              <w:rPr>
                <w:sz w:val="24"/>
                <w:szCs w:val="24"/>
              </w:rPr>
            </w:pPr>
            <w:r w:rsidRPr="000757F5">
              <w:rPr>
                <w:sz w:val="24"/>
                <w:szCs w:val="24"/>
              </w:rPr>
              <w:lastRenderedPageBreak/>
              <w:t>Liczba osób, które uzyskały zielone kwalifikacje po opuszczeniu programu (osoby)</w:t>
            </w:r>
          </w:p>
        </w:tc>
      </w:tr>
      <w:tr w:rsidR="000757F5" w:rsidRPr="00211FC2" w14:paraId="3EB51639" w14:textId="77777777" w:rsidTr="002F1D3C">
        <w:tc>
          <w:tcPr>
            <w:tcW w:w="9061" w:type="dxa"/>
          </w:tcPr>
          <w:p w14:paraId="10D461B5" w14:textId="19B9F212" w:rsidR="000757F5" w:rsidRPr="001F67EF" w:rsidRDefault="000757F5" w:rsidP="001F67EF">
            <w:pPr>
              <w:tabs>
                <w:tab w:val="left" w:pos="499"/>
              </w:tabs>
              <w:spacing w:before="120" w:after="120" w:line="276" w:lineRule="auto"/>
              <w:rPr>
                <w:sz w:val="24"/>
                <w:szCs w:val="24"/>
              </w:rPr>
            </w:pPr>
            <w:r w:rsidRPr="000757F5">
              <w:rPr>
                <w:b/>
                <w:bCs/>
                <w:sz w:val="24"/>
                <w:szCs w:val="24"/>
              </w:rPr>
              <w:t>Definicja wskaźnika</w:t>
            </w:r>
          </w:p>
        </w:tc>
      </w:tr>
      <w:tr w:rsidR="000757F5" w:rsidRPr="00211FC2" w14:paraId="3F7E4FE1" w14:textId="77777777" w:rsidTr="002F1D3C">
        <w:tc>
          <w:tcPr>
            <w:tcW w:w="9061" w:type="dxa"/>
          </w:tcPr>
          <w:p w14:paraId="1D406269" w14:textId="77777777" w:rsidR="000757F5" w:rsidRPr="000757F5" w:rsidRDefault="000757F5" w:rsidP="000757F5">
            <w:pPr>
              <w:tabs>
                <w:tab w:val="left" w:pos="499"/>
              </w:tabs>
              <w:spacing w:before="120" w:after="120" w:line="276" w:lineRule="auto"/>
              <w:rPr>
                <w:sz w:val="24"/>
                <w:szCs w:val="24"/>
              </w:rPr>
            </w:pPr>
            <w:r w:rsidRPr="000757F5">
              <w:rPr>
                <w:sz w:val="24"/>
                <w:szCs w:val="24"/>
              </w:rPr>
              <w:t>Wskaźnik mierzy liczbę osób, które w wyniku wsparcia EFS+ uzyskały zielone kwalifikacje lub nabyły zielone kompetencje.</w:t>
            </w:r>
          </w:p>
          <w:p w14:paraId="4A0C099F"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Definicja i sposób pomiaru jak we wskaźniku wspólnym: </w:t>
            </w:r>
            <w:r w:rsidRPr="000757F5">
              <w:rPr>
                <w:i/>
                <w:iCs/>
                <w:sz w:val="24"/>
                <w:szCs w:val="24"/>
              </w:rPr>
              <w:t>liczba osób, które uzyskały kwalifikacje po opuszczeniu programu (osoby)</w:t>
            </w:r>
            <w:r w:rsidRPr="000757F5">
              <w:rPr>
                <w:sz w:val="24"/>
                <w:szCs w:val="24"/>
              </w:rPr>
              <w:t xml:space="preserve"> – z zastrzeżeniem, że we wskaźniku należy uwzględniać wyłącznie zielone kwalifikacje lub kompetencje.</w:t>
            </w:r>
          </w:p>
          <w:p w14:paraId="59F24CEF" w14:textId="57BB90D4" w:rsidR="000757F5" w:rsidRPr="001F67EF" w:rsidRDefault="000757F5" w:rsidP="001F67EF">
            <w:pPr>
              <w:tabs>
                <w:tab w:val="left" w:pos="499"/>
              </w:tabs>
              <w:spacing w:before="120" w:after="120" w:line="276" w:lineRule="auto"/>
              <w:rPr>
                <w:sz w:val="24"/>
                <w:szCs w:val="24"/>
              </w:rPr>
            </w:pPr>
            <w:r w:rsidRPr="000757F5">
              <w:rPr>
                <w:sz w:val="24"/>
                <w:szCs w:val="24"/>
              </w:rPr>
              <w:t>Uwaga – zielone kwalifikacje/kompetencje, nabywane w wyniku uczestnictwa w</w:t>
            </w:r>
            <w:r w:rsidR="006233DD">
              <w:rPr>
                <w:sz w:val="24"/>
                <w:szCs w:val="24"/>
              </w:rPr>
              <w:t> </w:t>
            </w:r>
            <w:r w:rsidRPr="000757F5">
              <w:rPr>
                <w:sz w:val="24"/>
                <w:szCs w:val="24"/>
              </w:rPr>
              <w:t xml:space="preserve">projektach w celu szczegółowym g), powinny być uwzględniane również we wskaźniku </w:t>
            </w:r>
            <w:r w:rsidRPr="000757F5">
              <w:rPr>
                <w:i/>
                <w:iCs/>
                <w:sz w:val="24"/>
                <w:szCs w:val="24"/>
              </w:rPr>
              <w:t xml:space="preserve">liczba osób, które uzyskały kwalifikacje po opuszczeniu programu </w:t>
            </w:r>
            <w:r w:rsidRPr="000757F5">
              <w:rPr>
                <w:sz w:val="24"/>
                <w:szCs w:val="24"/>
              </w:rPr>
              <w:t>(osoby).</w:t>
            </w:r>
          </w:p>
        </w:tc>
      </w:tr>
    </w:tbl>
    <w:p w14:paraId="705436CE" w14:textId="0734F41C" w:rsidR="00E0648B" w:rsidRDefault="00657657" w:rsidP="00152BE9">
      <w:pPr>
        <w:shd w:val="clear" w:color="auto" w:fill="FFFFFF"/>
        <w:spacing w:before="240" w:after="120" w:line="276" w:lineRule="auto"/>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1E15EE">
      <w:pPr>
        <w:shd w:val="clear" w:color="auto" w:fill="FFFFFF"/>
        <w:spacing w:before="120" w:after="120" w:line="276" w:lineRule="auto"/>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3C7A3F">
      <w:pPr>
        <w:pStyle w:val="Akapitzlist"/>
        <w:numPr>
          <w:ilvl w:val="0"/>
          <w:numId w:val="119"/>
        </w:numPr>
        <w:shd w:val="clear" w:color="auto" w:fill="FFFFFF"/>
        <w:spacing w:after="120" w:line="276" w:lineRule="auto"/>
        <w:ind w:left="426"/>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3C7A3F">
      <w:pPr>
        <w:pStyle w:val="Akapitzlist"/>
        <w:numPr>
          <w:ilvl w:val="0"/>
          <w:numId w:val="119"/>
        </w:numPr>
        <w:shd w:val="clear" w:color="auto" w:fill="FFFFFF"/>
        <w:spacing w:after="120" w:line="276" w:lineRule="auto"/>
        <w:ind w:left="426"/>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3C7A3F">
      <w:pPr>
        <w:pStyle w:val="Akapitzlist"/>
        <w:numPr>
          <w:ilvl w:val="0"/>
          <w:numId w:val="67"/>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 xml:space="preserve">trakcie realizacji </w:t>
      </w:r>
      <w:r w:rsidRPr="00211FC2">
        <w:rPr>
          <w:color w:val="000000" w:themeColor="text1"/>
          <w:sz w:val="24"/>
          <w:szCs w:val="24"/>
        </w:rPr>
        <w:lastRenderedPageBreak/>
        <w:t>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3C7A3F">
      <w:pPr>
        <w:pStyle w:val="Akapitzlist"/>
        <w:numPr>
          <w:ilvl w:val="0"/>
          <w:numId w:val="119"/>
        </w:numPr>
        <w:shd w:val="clear" w:color="auto" w:fill="FFFFFF"/>
        <w:spacing w:after="120" w:line="276" w:lineRule="auto"/>
        <w:ind w:left="426"/>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3C7A3F">
      <w:pPr>
        <w:pStyle w:val="Akapitzlist"/>
        <w:numPr>
          <w:ilvl w:val="0"/>
          <w:numId w:val="119"/>
        </w:numPr>
        <w:shd w:val="clear" w:color="auto" w:fill="FFFFFF"/>
        <w:spacing w:after="120" w:line="276" w:lineRule="auto"/>
        <w:ind w:left="426"/>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200113175"/>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200113176"/>
      <w:r w:rsidRPr="00211FC2">
        <w:t>Wkład własny</w:t>
      </w:r>
      <w:bookmarkEnd w:id="65"/>
    </w:p>
    <w:p w14:paraId="2B952533" w14:textId="41A1264C"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wolontariacie lub nieodpłatnej pracy społecznej członków stowarzyszenia wykonywanej na podstawie ustawy z dnia 7 kwietnia </w:t>
      </w:r>
      <w:r w:rsidRPr="00211FC2">
        <w:rPr>
          <w:rFonts w:eastAsiaTheme="minorHAnsi"/>
          <w:color w:val="000000" w:themeColor="text1"/>
          <w:sz w:val="24"/>
          <w:szCs w:val="24"/>
          <w:lang w:eastAsia="en-US"/>
        </w:rPr>
        <w:lastRenderedPageBreak/>
        <w:t>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3C7A3F">
      <w:pPr>
        <w:pStyle w:val="Akapitzlist"/>
        <w:widowControl/>
        <w:numPr>
          <w:ilvl w:val="0"/>
          <w:numId w:val="23"/>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200113177"/>
      <w:r w:rsidRPr="00211FC2">
        <w:t xml:space="preserve">Pomoc </w:t>
      </w:r>
      <w:r w:rsidR="004C5B78" w:rsidRPr="00211FC2">
        <w:t>publiczna</w:t>
      </w:r>
      <w:bookmarkEnd w:id="67"/>
    </w:p>
    <w:p w14:paraId="3FDEF900" w14:textId="18E7A07B" w:rsidR="0005241D" w:rsidRPr="00211FC2" w:rsidRDefault="00AF10BD" w:rsidP="00FA67BE">
      <w:pPr>
        <w:shd w:val="clear" w:color="auto" w:fill="FFFFFF"/>
        <w:spacing w:after="120" w:line="276" w:lineRule="auto"/>
        <w:ind w:left="1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w:t>
      </w:r>
      <w:proofErr w:type="spellStart"/>
      <w:r w:rsidR="0005241D" w:rsidRPr="00211FC2">
        <w:rPr>
          <w:color w:val="000000" w:themeColor="text1"/>
          <w:sz w:val="24"/>
          <w:szCs w:val="24"/>
        </w:rPr>
        <w:t>minimis</w:t>
      </w:r>
      <w:proofErr w:type="spellEnd"/>
      <w:r w:rsidR="0005241D" w:rsidRPr="00211FC2">
        <w:rPr>
          <w:color w:val="000000" w:themeColor="text1"/>
          <w:sz w:val="24"/>
          <w:szCs w:val="24"/>
        </w:rPr>
        <w:t xml:space="preserve">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3C7A3F">
      <w:pPr>
        <w:pStyle w:val="Akapitzlist"/>
        <w:numPr>
          <w:ilvl w:val="0"/>
          <w:numId w:val="24"/>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AE6C1C">
      <w:pPr>
        <w:pStyle w:val="Nagwek2"/>
      </w:pPr>
      <w:bookmarkStart w:id="68" w:name="_Toc200113178"/>
      <w:r w:rsidRPr="00211FC2">
        <w:t>Budżet projektu</w:t>
      </w:r>
      <w:bookmarkEnd w:id="68"/>
    </w:p>
    <w:p w14:paraId="763B9A87" w14:textId="77777777"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Przy konstruowaniu budżetu projektu należy kierować się ogólnymi warunkami kwalifikowalności, określonymi w Wytycznych kwalifikowalności, w szczególności </w:t>
      </w:r>
      <w:r w:rsidRPr="00211FC2">
        <w:rPr>
          <w:color w:val="000000" w:themeColor="text1"/>
          <w:sz w:val="24"/>
          <w:szCs w:val="24"/>
        </w:rPr>
        <w:lastRenderedPageBreak/>
        <w:t>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200113179"/>
      <w:r w:rsidRPr="00211FC2">
        <w:t>Koszty bezpośrednie</w:t>
      </w:r>
      <w:bookmarkEnd w:id="69"/>
    </w:p>
    <w:p w14:paraId="509CCE5E" w14:textId="26F6C623"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70" w:name="_Toc200113180"/>
      <w:r w:rsidRPr="00211FC2">
        <w:t>Koszty pośrednie</w:t>
      </w:r>
      <w:bookmarkEnd w:id="70"/>
    </w:p>
    <w:p w14:paraId="3F93DAA1" w14:textId="2DFECF66" w:rsidR="00C41CC7" w:rsidRPr="00211FC2" w:rsidRDefault="00C41CC7" w:rsidP="003C7A3F">
      <w:pPr>
        <w:pStyle w:val="Akapitzlist"/>
        <w:widowControl/>
        <w:numPr>
          <w:ilvl w:val="0"/>
          <w:numId w:val="61"/>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 xml:space="preserve">koszty wynagrodzenia tych osób, wyposażenia ich stanowiska pracy, </w:t>
      </w:r>
      <w:r w:rsidRPr="00211FC2">
        <w:rPr>
          <w:color w:val="000000" w:themeColor="text1"/>
          <w:sz w:val="24"/>
          <w:szCs w:val="24"/>
        </w:rPr>
        <w:lastRenderedPageBreak/>
        <w:t>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3C7A3F">
      <w:pPr>
        <w:pStyle w:val="Akapitzlist"/>
        <w:numPr>
          <w:ilvl w:val="0"/>
          <w:numId w:val="62"/>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 xml:space="preserve">25% kosztów bezpośrednich – w przypadku projektów o wartości kosztów </w:t>
      </w:r>
      <w:r w:rsidRPr="00211FC2">
        <w:rPr>
          <w:color w:val="000000" w:themeColor="text1"/>
          <w:sz w:val="24"/>
          <w:szCs w:val="24"/>
        </w:rPr>
        <w:lastRenderedPageBreak/>
        <w:t>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3C7A3F">
      <w:pPr>
        <w:pStyle w:val="Akapitzlist"/>
        <w:widowControl/>
        <w:numPr>
          <w:ilvl w:val="0"/>
          <w:numId w:val="62"/>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E25BF8" w:rsidRDefault="008C3BEA"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71" w:name="_Toc200113181"/>
      <w:r w:rsidRPr="00211FC2">
        <w:t>Kwalifikowalność wydatków</w:t>
      </w:r>
      <w:bookmarkEnd w:id="71"/>
    </w:p>
    <w:p w14:paraId="185D9F72" w14:textId="77777777" w:rsidR="0042396F" w:rsidRPr="00211FC2" w:rsidRDefault="0042396F"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3C7A3F">
      <w:pPr>
        <w:pStyle w:val="Akapitzlist"/>
        <w:numPr>
          <w:ilvl w:val="0"/>
          <w:numId w:val="16"/>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3C7A3F">
      <w:pPr>
        <w:pStyle w:val="Akapitzlist"/>
        <w:numPr>
          <w:ilvl w:val="0"/>
          <w:numId w:val="16"/>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w:t>
      </w:r>
      <w:r w:rsidR="00A63F60" w:rsidRPr="00211FC2">
        <w:rPr>
          <w:color w:val="000000" w:themeColor="text1"/>
          <w:sz w:val="24"/>
          <w:szCs w:val="24"/>
        </w:rPr>
        <w:lastRenderedPageBreak/>
        <w:t xml:space="preserve">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bookmarkStart w:id="72"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2"/>
    <w:p w14:paraId="64B84C9C"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w:t>
      </w:r>
      <w:r w:rsidRPr="00211FC2">
        <w:rPr>
          <w:rFonts w:eastAsia="Calibri"/>
          <w:kern w:val="3"/>
          <w:sz w:val="24"/>
          <w:szCs w:val="24"/>
          <w:lang w:eastAsia="en-US"/>
        </w:rPr>
        <w:lastRenderedPageBreak/>
        <w:t xml:space="preserve">rozporządzenia EFS+, art. 9 rozporządzenia FST oraz: </w:t>
      </w:r>
    </w:p>
    <w:p w14:paraId="616441B9"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w:t>
      </w:r>
      <w:r w:rsidRPr="00211FC2">
        <w:rPr>
          <w:rFonts w:eastAsia="Calibri"/>
          <w:kern w:val="3"/>
          <w:sz w:val="24"/>
          <w:szCs w:val="24"/>
          <w:lang w:eastAsia="en-US"/>
        </w:rPr>
        <w:lastRenderedPageBreak/>
        <w:t xml:space="preserve">lub związki z jakimkolwiek krajem, interes gospodarczy lub jakiekolwiek inne bezpośrednie lub pośrednie interesy osobiste, </w:t>
      </w:r>
    </w:p>
    <w:p w14:paraId="324DB1EE"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3C7A3F">
      <w:pPr>
        <w:pStyle w:val="Akapitzlist"/>
        <w:widowControl/>
        <w:numPr>
          <w:ilvl w:val="0"/>
          <w:numId w:val="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3" w:name="_Toc139277424"/>
      <w:bookmarkStart w:id="74" w:name="_Toc200113182"/>
      <w:r w:rsidRPr="00211FC2">
        <w:t>Zasady udzielania zamówień w ramach projektu</w:t>
      </w:r>
      <w:bookmarkEnd w:id="73"/>
      <w:bookmarkEnd w:id="74"/>
    </w:p>
    <w:p w14:paraId="032082BC"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lastRenderedPageBreak/>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3C7A3F">
      <w:pPr>
        <w:pStyle w:val="Lista2"/>
        <w:numPr>
          <w:ilvl w:val="0"/>
          <w:numId w:val="36"/>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3C7A3F">
      <w:pPr>
        <w:pStyle w:val="Lista2"/>
        <w:numPr>
          <w:ilvl w:val="0"/>
          <w:numId w:val="36"/>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39D84EB3" w14:textId="77777777" w:rsidR="00483935" w:rsidRDefault="006B23B0" w:rsidP="00483935">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57034B06" w14:textId="34621C64" w:rsidR="00483935" w:rsidRDefault="00483935" w:rsidP="00483935">
      <w:pPr>
        <w:pStyle w:val="Tekstpodstawowy"/>
        <w:numPr>
          <w:ilvl w:val="0"/>
          <w:numId w:val="37"/>
        </w:numPr>
        <w:spacing w:before="120" w:line="276" w:lineRule="auto"/>
        <w:ind w:left="425" w:hanging="425"/>
        <w:rPr>
          <w:rFonts w:ascii="Arial" w:hAnsi="Arial" w:cs="Arial"/>
          <w:sz w:val="24"/>
          <w:szCs w:val="24"/>
        </w:rPr>
      </w:pPr>
      <w:r w:rsidRPr="00483935">
        <w:rPr>
          <w:rFonts w:ascii="Arial" w:hAnsi="Arial" w:cs="Arial"/>
          <w:sz w:val="24"/>
          <w:szCs w:val="24"/>
        </w:rPr>
        <w:t xml:space="preserve">Każdy beneficjent powinien pamiętać, że progiem od którego stosować należy zasadę konkurencyjności jest kwota 80 000 zł netto (bez podatku od towarów i </w:t>
      </w:r>
      <w:r>
        <w:rPr>
          <w:rFonts w:ascii="Arial" w:hAnsi="Arial" w:cs="Arial"/>
          <w:sz w:val="24"/>
          <w:szCs w:val="24"/>
        </w:rPr>
        <w:t> </w:t>
      </w:r>
      <w:r w:rsidRPr="00483935">
        <w:rPr>
          <w:rFonts w:ascii="Arial" w:hAnsi="Arial" w:cs="Arial"/>
          <w:sz w:val="24"/>
          <w:szCs w:val="24"/>
        </w:rPr>
        <w:t>usług). Kwota ta odnosi się do zagregowanej, zgodnie z zasadami określonymi w Wytycznych kwalifikowalności, wartości zamówienia a nie wartości pojedynczego zakupu.</w:t>
      </w:r>
    </w:p>
    <w:p w14:paraId="1AB11682" w14:textId="32E801CB" w:rsidR="00DA3F81" w:rsidRPr="00483935" w:rsidRDefault="00483935" w:rsidP="00483935">
      <w:pPr>
        <w:pStyle w:val="Tekstpodstawowy"/>
        <w:numPr>
          <w:ilvl w:val="0"/>
          <w:numId w:val="37"/>
        </w:numPr>
        <w:spacing w:before="120" w:line="276" w:lineRule="auto"/>
        <w:ind w:left="425" w:hanging="425"/>
        <w:rPr>
          <w:rFonts w:ascii="Arial" w:hAnsi="Arial" w:cs="Arial"/>
          <w:sz w:val="24"/>
          <w:szCs w:val="24"/>
        </w:rPr>
      </w:pPr>
      <w:r w:rsidRPr="00483935">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80 000 zł – 129 999 zł. Pozostałe podmioty takie jak np.: fundacje, stowarzyszenia, firmy jednoosobowe, spółki prawa handlowego i cywilnego etc., stosują zasadę konkurencyjności dla zamówień przekraczających 80 000 zł netto (bez podatku od towarów i usług)</w:t>
      </w:r>
      <w:r w:rsidR="003438BE" w:rsidRPr="00483935">
        <w:rPr>
          <w:rFonts w:ascii="Arial" w:hAnsi="Arial" w:cs="Arial"/>
          <w:sz w:val="24"/>
          <w:szCs w:val="24"/>
        </w:rPr>
        <w:t>Wytyczne kwalifikowalności</w:t>
      </w:r>
      <w:r w:rsidR="003438BE" w:rsidRPr="00483935">
        <w:rPr>
          <w:rFonts w:ascii="Arial" w:hAnsi="Arial" w:cs="Arial"/>
          <w:i/>
          <w:iCs/>
          <w:sz w:val="24"/>
          <w:szCs w:val="24"/>
        </w:rPr>
        <w:t xml:space="preserve"> </w:t>
      </w:r>
      <w:r w:rsidR="003438BE" w:rsidRPr="00483935">
        <w:rPr>
          <w:rFonts w:ascii="Arial" w:hAnsi="Arial" w:cs="Arial"/>
          <w:sz w:val="24"/>
          <w:szCs w:val="24"/>
        </w:rPr>
        <w:t xml:space="preserve">dopuszczają szereg sytuacji, w </w:t>
      </w:r>
      <w:r>
        <w:rPr>
          <w:rFonts w:ascii="Arial" w:hAnsi="Arial" w:cs="Arial"/>
          <w:sz w:val="24"/>
          <w:szCs w:val="24"/>
        </w:rPr>
        <w:t> </w:t>
      </w:r>
      <w:r w:rsidR="003438BE" w:rsidRPr="00483935">
        <w:rPr>
          <w:rFonts w:ascii="Arial" w:hAnsi="Arial" w:cs="Arial"/>
          <w:sz w:val="24"/>
          <w:szCs w:val="24"/>
        </w:rPr>
        <w:t>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3C7A3F">
      <w:pPr>
        <w:pStyle w:val="Tekstpodstawowy"/>
        <w:numPr>
          <w:ilvl w:val="0"/>
          <w:numId w:val="37"/>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lastRenderedPageBreak/>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3C7A3F">
      <w:pPr>
        <w:pStyle w:val="Tekstpodstawowy"/>
        <w:numPr>
          <w:ilvl w:val="0"/>
          <w:numId w:val="38"/>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3C7A3F">
      <w:pPr>
        <w:pStyle w:val="Tekstpodstawowy"/>
        <w:numPr>
          <w:ilvl w:val="0"/>
          <w:numId w:val="38"/>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5" w:name="_Toc200113183"/>
      <w:r w:rsidRPr="00211FC2">
        <w:t>Cross-</w:t>
      </w:r>
      <w:proofErr w:type="spellStart"/>
      <w:r w:rsidRPr="00211FC2">
        <w:t>financing</w:t>
      </w:r>
      <w:bookmarkEnd w:id="75"/>
      <w:proofErr w:type="spellEnd"/>
    </w:p>
    <w:p w14:paraId="6186AB0C"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3C7A3F">
      <w:pPr>
        <w:pStyle w:val="Akapitzlist"/>
        <w:numPr>
          <w:ilvl w:val="0"/>
          <w:numId w:val="26"/>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w:t>
      </w:r>
      <w:r w:rsidRPr="00211FC2">
        <w:rPr>
          <w:color w:val="000000" w:themeColor="text1"/>
          <w:sz w:val="24"/>
          <w:szCs w:val="24"/>
        </w:rPr>
        <w:lastRenderedPageBreak/>
        <w:t xml:space="preserve">projektu, z zastrzeżeniem podrozdziału 3.7 wytycznych kwalifikowalności, lub </w:t>
      </w:r>
    </w:p>
    <w:p w14:paraId="007587DB"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76" w:name="_Toc200113184"/>
      <w:r w:rsidRPr="00211FC2">
        <w:t>Trwałość projektu</w:t>
      </w:r>
      <w:bookmarkEnd w:id="76"/>
    </w:p>
    <w:p w14:paraId="6C9AFB36" w14:textId="275372DE" w:rsidR="004B55EE" w:rsidRPr="004B55EE" w:rsidRDefault="004B55EE" w:rsidP="003C7A3F">
      <w:pPr>
        <w:pStyle w:val="Akapitzlist"/>
        <w:numPr>
          <w:ilvl w:val="0"/>
          <w:numId w:val="72"/>
        </w:numPr>
        <w:spacing w:before="120" w:after="120" w:line="276" w:lineRule="auto"/>
        <w:ind w:left="425" w:hanging="425"/>
        <w:contextualSpacing w:val="0"/>
        <w:rPr>
          <w:color w:val="000000" w:themeColor="text1"/>
          <w:sz w:val="24"/>
          <w:szCs w:val="24"/>
        </w:rPr>
      </w:pPr>
      <w:r>
        <w:rPr>
          <w:color w:val="000000" w:themeColor="text1"/>
          <w:sz w:val="24"/>
          <w:szCs w:val="24"/>
        </w:rPr>
        <w:t>Zgodnie z kryterium szczególnym nr 12 „</w:t>
      </w:r>
      <w:r w:rsidRPr="004B55EE">
        <w:rPr>
          <w:color w:val="000000" w:themeColor="text1"/>
          <w:sz w:val="24"/>
          <w:szCs w:val="24"/>
        </w:rPr>
        <w:t>Projekt zakłada trwałość funkcjonowania LOWE</w:t>
      </w:r>
      <w:r>
        <w:rPr>
          <w:color w:val="000000" w:themeColor="text1"/>
          <w:sz w:val="24"/>
          <w:szCs w:val="24"/>
        </w:rPr>
        <w:t>”</w:t>
      </w:r>
      <w:r w:rsidRPr="004B55EE">
        <w:rPr>
          <w:color w:val="000000" w:themeColor="text1"/>
          <w:sz w:val="24"/>
          <w:szCs w:val="24"/>
        </w:rPr>
        <w:t>.</w:t>
      </w:r>
      <w:r>
        <w:rPr>
          <w:color w:val="000000" w:themeColor="text1"/>
          <w:sz w:val="24"/>
          <w:szCs w:val="24"/>
        </w:rPr>
        <w:t xml:space="preserve"> </w:t>
      </w:r>
      <w:r w:rsidRPr="004B55EE">
        <w:rPr>
          <w:color w:val="000000" w:themeColor="text1"/>
          <w:sz w:val="24"/>
          <w:szCs w:val="24"/>
        </w:rPr>
        <w:t>Trwałość funkcjonowania LOWE będzie monitorowana po 12 pełnych miesiącach od daty zakończenia realizacji projektu. Funkcjonowanie LOWE należy rozumieć jako instytucjonalną gotowość placówki do świadczenia usług dla osób dorosłych.</w:t>
      </w:r>
      <w:r>
        <w:rPr>
          <w:color w:val="000000" w:themeColor="text1"/>
          <w:sz w:val="24"/>
          <w:szCs w:val="24"/>
        </w:rPr>
        <w:t xml:space="preserve"> </w:t>
      </w:r>
    </w:p>
    <w:p w14:paraId="0A73D7C6" w14:textId="62518653" w:rsidR="00877DEF"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7" w:name="_Toc200113185"/>
      <w:r w:rsidRPr="00211FC2">
        <w:t>Podatek VAT</w:t>
      </w:r>
      <w:bookmarkEnd w:id="77"/>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1A00593B" w:rsidR="0073124D" w:rsidRPr="00090E38" w:rsidRDefault="00090E38" w:rsidP="00434A95">
      <w:pPr>
        <w:spacing w:before="120" w:after="120" w:line="276" w:lineRule="auto"/>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FA67BE" w:rsidRPr="00FA67BE">
        <w:rPr>
          <w:bCs/>
          <w:color w:val="000000" w:themeColor="text1"/>
          <w:sz w:val="24"/>
          <w:szCs w:val="24"/>
        </w:rPr>
        <w:t>9</w:t>
      </w:r>
      <w:r w:rsidR="00FA67BE">
        <w:rPr>
          <w:bCs/>
          <w:color w:val="000000" w:themeColor="text1"/>
          <w:sz w:val="24"/>
          <w:szCs w:val="24"/>
        </w:rPr>
        <w:t> </w:t>
      </w:r>
      <w:r w:rsidR="00FA67BE" w:rsidRPr="00FA67BE">
        <w:rPr>
          <w:bCs/>
          <w:color w:val="000000" w:themeColor="text1"/>
          <w:sz w:val="24"/>
          <w:szCs w:val="24"/>
        </w:rPr>
        <w:t>658</w:t>
      </w:r>
      <w:r w:rsidR="00FA67BE">
        <w:rPr>
          <w:bCs/>
          <w:color w:val="000000" w:themeColor="text1"/>
          <w:sz w:val="24"/>
          <w:szCs w:val="24"/>
        </w:rPr>
        <w:t> </w:t>
      </w:r>
      <w:r w:rsidR="00FA67BE" w:rsidRPr="00FA67BE">
        <w:rPr>
          <w:bCs/>
          <w:color w:val="000000" w:themeColor="text1"/>
          <w:sz w:val="24"/>
          <w:szCs w:val="24"/>
        </w:rPr>
        <w:t>141,07</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 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AE6C1C">
      <w:pPr>
        <w:pStyle w:val="Nagwek2"/>
      </w:pPr>
      <w:bookmarkStart w:id="78" w:name="_Toc200113186"/>
      <w:bookmarkStart w:id="79" w:name="_Hlk162517734"/>
      <w:r w:rsidRPr="00211FC2">
        <w:t>Uproszczone metody rozliczania projektów</w:t>
      </w:r>
      <w:bookmarkEnd w:id="78"/>
    </w:p>
    <w:p w14:paraId="51250470" w14:textId="77777777" w:rsidR="00D93349" w:rsidRDefault="004B41C4" w:rsidP="003C7A3F">
      <w:pPr>
        <w:pStyle w:val="Akapitzlist"/>
        <w:numPr>
          <w:ilvl w:val="0"/>
          <w:numId w:val="73"/>
        </w:numPr>
        <w:spacing w:before="120" w:after="120" w:line="276" w:lineRule="auto"/>
        <w:ind w:left="425" w:hanging="425"/>
        <w:contextualSpacing w:val="0"/>
        <w:rPr>
          <w:color w:val="000000" w:themeColor="text1"/>
          <w:sz w:val="24"/>
          <w:szCs w:val="24"/>
        </w:rPr>
      </w:pPr>
      <w:bookmarkStart w:id="80" w:name="_Hlk162517805"/>
      <w:bookmarkEnd w:id="79"/>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5EB07DBA" w:rsidR="00D93349" w:rsidRDefault="00D93349" w:rsidP="00D93349">
      <w:pPr>
        <w:pStyle w:val="Akapitzlist"/>
        <w:spacing w:before="120" w:after="120" w:line="276" w:lineRule="auto"/>
        <w:ind w:left="425"/>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BE1700">
        <w:rPr>
          <w:b/>
          <w:bCs/>
          <w:color w:val="000000" w:themeColor="text1"/>
          <w:sz w:val="24"/>
          <w:szCs w:val="24"/>
        </w:rPr>
        <w:t>4,</w:t>
      </w:r>
      <w:r w:rsidR="00EF3EE3" w:rsidRPr="00BE1700">
        <w:rPr>
          <w:b/>
          <w:bCs/>
          <w:color w:val="000000" w:themeColor="text1"/>
          <w:sz w:val="24"/>
          <w:szCs w:val="24"/>
        </w:rPr>
        <w:t>283</w:t>
      </w:r>
      <w:r w:rsidR="00C81D89" w:rsidRPr="00BE1700">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856 760,00 </w:t>
      </w:r>
      <w:r>
        <w:rPr>
          <w:color w:val="000000" w:themeColor="text1"/>
          <w:sz w:val="24"/>
          <w:szCs w:val="24"/>
        </w:rPr>
        <w:t>zł</w:t>
      </w:r>
      <w:r w:rsidR="00367A61">
        <w:rPr>
          <w:color w:val="000000" w:themeColor="text1"/>
          <w:sz w:val="24"/>
          <w:szCs w:val="24"/>
        </w:rPr>
        <w:t>.</w:t>
      </w:r>
    </w:p>
    <w:bookmarkEnd w:id="80"/>
    <w:p w14:paraId="67286557" w14:textId="33AEC693" w:rsidR="00B065E5" w:rsidRPr="00520336" w:rsidRDefault="00B065E5"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 xml:space="preserve">projektów otrzymujących wsparcie w ramach pomocy publicznej, które nie </w:t>
      </w:r>
      <w:r w:rsidRPr="00520336">
        <w:rPr>
          <w:sz w:val="24"/>
          <w:szCs w:val="24"/>
        </w:rPr>
        <w:lastRenderedPageBreak/>
        <w:t xml:space="preserve">stanowi pomocy de </w:t>
      </w:r>
      <w:proofErr w:type="spellStart"/>
      <w:r w:rsidRPr="00520336">
        <w:rPr>
          <w:sz w:val="24"/>
          <w:szCs w:val="24"/>
        </w:rPr>
        <w:t>minimis</w:t>
      </w:r>
      <w:proofErr w:type="spellEnd"/>
      <w:r w:rsidRPr="00520336">
        <w:rPr>
          <w:sz w:val="24"/>
          <w:szCs w:val="24"/>
        </w:rPr>
        <w:t>, w tym projektów łączących pomoc publiczną i</w:t>
      </w:r>
      <w:r w:rsidR="00EA43A3" w:rsidRPr="00520336">
        <w:rPr>
          <w:sz w:val="24"/>
          <w:szCs w:val="24"/>
        </w:rPr>
        <w:t> </w:t>
      </w:r>
      <w:r w:rsidRPr="00520336">
        <w:rPr>
          <w:sz w:val="24"/>
          <w:szCs w:val="24"/>
        </w:rPr>
        <w:t xml:space="preserve">pomoc de </w:t>
      </w:r>
      <w:proofErr w:type="spellStart"/>
      <w:r w:rsidRPr="00520336">
        <w:rPr>
          <w:sz w:val="24"/>
          <w:szCs w:val="24"/>
        </w:rPr>
        <w:t>minimis</w:t>
      </w:r>
      <w:proofErr w:type="spellEnd"/>
      <w:r w:rsidR="00DE2511" w:rsidRPr="00520336">
        <w:rPr>
          <w:sz w:val="24"/>
          <w:szCs w:val="24"/>
        </w:rPr>
        <w:t>;</w:t>
      </w:r>
    </w:p>
    <w:p w14:paraId="757D464C" w14:textId="3249CBD5" w:rsidR="00D75847" w:rsidRPr="00520336" w:rsidRDefault="00DE2511"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 xml:space="preserve">w przypadku stawek ryczałtowych – rozliczenie następuje według </w:t>
      </w:r>
      <w:r w:rsidRPr="00520336">
        <w:rPr>
          <w:sz w:val="24"/>
          <w:szCs w:val="24"/>
        </w:rPr>
        <w:lastRenderedPageBreak/>
        <w:t>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lang w:val="x-none"/>
        </w:rPr>
        <w:t>W ramach kwoty ryczałtowej wydatki objęte cross-</w:t>
      </w:r>
      <w:proofErr w:type="spellStart"/>
      <w:r w:rsidRPr="00A10D36">
        <w:rPr>
          <w:sz w:val="24"/>
          <w:szCs w:val="24"/>
          <w:lang w:val="x-none"/>
        </w:rPr>
        <w:t>financingiem</w:t>
      </w:r>
      <w:proofErr w:type="spellEnd"/>
      <w:r w:rsidRPr="00A10D36">
        <w:rPr>
          <w:sz w:val="24"/>
          <w:szCs w:val="24"/>
          <w:lang w:val="x-none"/>
        </w:rPr>
        <w:t xml:space="preserve">,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3C7A3F">
      <w:pPr>
        <w:pStyle w:val="Akapitzlist"/>
        <w:numPr>
          <w:ilvl w:val="0"/>
          <w:numId w:val="73"/>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1" w:name="_Toc200113187"/>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81"/>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82" w:name="_Toc200113188"/>
      <w:r w:rsidRPr="00211FC2">
        <w:rPr>
          <w:rFonts w:ascii="Arial" w:hAnsi="Arial" w:cs="Arial"/>
          <w:b/>
          <w:color w:val="000000" w:themeColor="text1"/>
          <w:sz w:val="24"/>
          <w:szCs w:val="24"/>
        </w:rPr>
        <w:lastRenderedPageBreak/>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82"/>
    </w:p>
    <w:p w14:paraId="0B712ADF" w14:textId="7976DEE0" w:rsidR="006326F1" w:rsidRPr="00211FC2" w:rsidRDefault="003A0FE0" w:rsidP="00AE6C1C">
      <w:pPr>
        <w:pStyle w:val="Nagwek2"/>
      </w:pPr>
      <w:bookmarkStart w:id="83" w:name="_Toc200113189"/>
      <w:r w:rsidRPr="00211FC2">
        <w:t>Sposób wyboru projektu</w:t>
      </w:r>
      <w:bookmarkEnd w:id="83"/>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84" w:name="_Toc200113190"/>
      <w:r w:rsidRPr="00211FC2">
        <w:t>Opis procedury wyboru projektów</w:t>
      </w:r>
      <w:bookmarkEnd w:id="84"/>
    </w:p>
    <w:p w14:paraId="455CC26F" w14:textId="77777777"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3C7A3F">
      <w:pPr>
        <w:pStyle w:val="Akapitzlist"/>
        <w:numPr>
          <w:ilvl w:val="0"/>
          <w:numId w:val="18"/>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3C7A3F">
      <w:pPr>
        <w:pStyle w:val="Akapitzlist"/>
        <w:numPr>
          <w:ilvl w:val="0"/>
          <w:numId w:val="18"/>
        </w:numPr>
        <w:spacing w:after="120" w:line="276" w:lineRule="auto"/>
        <w:ind w:left="357"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3C7A3F">
      <w:pPr>
        <w:pStyle w:val="Akapitzlist"/>
        <w:numPr>
          <w:ilvl w:val="0"/>
          <w:numId w:val="18"/>
        </w:numPr>
        <w:spacing w:before="120" w:after="120" w:line="276" w:lineRule="auto"/>
        <w:ind w:left="425"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Pr="00211FC2" w:rsidRDefault="007179BD" w:rsidP="00F2152C">
      <w:pPr>
        <w:pStyle w:val="Akapitzlist"/>
        <w:spacing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85"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bookmarkEnd w:id="85"/>
    <w:p w14:paraId="68FD4A04" w14:textId="6AC362F2" w:rsidR="003918CA" w:rsidRDefault="00E31683" w:rsidP="003C7A3F">
      <w:pPr>
        <w:pStyle w:val="Akapitzlist"/>
        <w:numPr>
          <w:ilvl w:val="0"/>
          <w:numId w:val="18"/>
        </w:numPr>
        <w:spacing w:before="120" w:after="120" w:line="276" w:lineRule="auto"/>
        <w:ind w:left="425"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3C7A3F">
      <w:pPr>
        <w:pStyle w:val="Akapitzlist"/>
        <w:numPr>
          <w:ilvl w:val="0"/>
          <w:numId w:val="18"/>
        </w:numPr>
        <w:spacing w:before="120" w:after="120" w:line="276" w:lineRule="auto"/>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661BA1">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lastRenderedPageBreak/>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3C7A3F">
      <w:pPr>
        <w:pStyle w:val="Akapitzlist"/>
        <w:numPr>
          <w:ilvl w:val="0"/>
          <w:numId w:val="1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86" w:name="_Toc200113191"/>
      <w:r w:rsidRPr="00211FC2">
        <w:rPr>
          <w:rFonts w:eastAsiaTheme="minorHAnsi" w:cs="Arial"/>
          <w:lang w:eastAsia="en-US"/>
        </w:rPr>
        <w:t>Etap oceny formalnej</w:t>
      </w:r>
      <w:bookmarkEnd w:id="86"/>
    </w:p>
    <w:p w14:paraId="471CD319" w14:textId="50894F8F" w:rsidR="00C74B8F" w:rsidRPr="00211FC2" w:rsidRDefault="0099717F" w:rsidP="003C7A3F">
      <w:pPr>
        <w:pStyle w:val="Akapitzlist"/>
        <w:numPr>
          <w:ilvl w:val="0"/>
          <w:numId w:val="3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0FD2A8CA" w14:textId="0C559989" w:rsidR="00D26234"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87" w:name="_Toc200113192"/>
      <w:r w:rsidRPr="00211FC2">
        <w:rPr>
          <w:rFonts w:cs="Arial"/>
          <w:lang w:eastAsia="en-US"/>
        </w:rPr>
        <w:t>Etap oceny merytorycznej</w:t>
      </w:r>
      <w:bookmarkEnd w:id="87"/>
    </w:p>
    <w:p w14:paraId="0545770C" w14:textId="3122CFFD" w:rsidR="005667C2" w:rsidRPr="00473C15" w:rsidRDefault="0099717F" w:rsidP="003C7A3F">
      <w:pPr>
        <w:pStyle w:val="Akapitzlist"/>
        <w:numPr>
          <w:ilvl w:val="0"/>
          <w:numId w:val="31"/>
        </w:numPr>
        <w:spacing w:before="120" w:after="120" w:line="276" w:lineRule="auto"/>
        <w:ind w:left="425"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lastRenderedPageBreak/>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9108A0" w:rsidRDefault="003E1899" w:rsidP="003C7A3F">
            <w:pPr>
              <w:numPr>
                <w:ilvl w:val="0"/>
                <w:numId w:val="98"/>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odniesieniu do zastosowanych uproszczonych metod rozliczania kosztów bezpośrednich projektu (jeśli dotyczy) oraz zgodność zaplanowanych zadań 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565528" w:rsidRDefault="003E1899" w:rsidP="003C7A3F">
            <w:pPr>
              <w:widowControl/>
              <w:numPr>
                <w:ilvl w:val="0"/>
                <w:numId w:val="98"/>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565528" w:rsidRDefault="003E1899" w:rsidP="003C7A3F">
            <w:pPr>
              <w:widowControl/>
              <w:numPr>
                <w:ilvl w:val="0"/>
                <w:numId w:val="98"/>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565528" w:rsidRDefault="003E1899" w:rsidP="003C7A3F">
            <w:pPr>
              <w:widowControl/>
              <w:numPr>
                <w:ilvl w:val="0"/>
                <w:numId w:val="99"/>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3C7A3F">
            <w:pPr>
              <w:widowControl/>
              <w:numPr>
                <w:ilvl w:val="0"/>
                <w:numId w:val="96"/>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3C7A3F">
            <w:pPr>
              <w:widowControl/>
              <w:numPr>
                <w:ilvl w:val="0"/>
                <w:numId w:val="96"/>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3C7A3F">
            <w:pPr>
              <w:widowControl/>
              <w:numPr>
                <w:ilvl w:val="0"/>
                <w:numId w:val="96"/>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3C7A3F">
            <w:pPr>
              <w:widowControl/>
              <w:numPr>
                <w:ilvl w:val="0"/>
                <w:numId w:val="101"/>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3C7A3F">
            <w:pPr>
              <w:widowControl/>
              <w:numPr>
                <w:ilvl w:val="0"/>
                <w:numId w:val="101"/>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3C7A3F">
            <w:pPr>
              <w:widowControl/>
              <w:numPr>
                <w:ilvl w:val="0"/>
                <w:numId w:val="101"/>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3C7A3F">
            <w:pPr>
              <w:widowControl/>
              <w:numPr>
                <w:ilvl w:val="0"/>
                <w:numId w:val="96"/>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744A59C" w:rsidR="00135F86" w:rsidRPr="00DC30B6" w:rsidRDefault="00BB6AF1" w:rsidP="003C7A3F">
      <w:pPr>
        <w:pStyle w:val="Akapitzlist"/>
        <w:numPr>
          <w:ilvl w:val="0"/>
          <w:numId w:val="10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76029">
        <w:rPr>
          <w:sz w:val="24"/>
          <w:szCs w:val="24"/>
          <w:lang w:eastAsia="ar-SA"/>
        </w:rPr>
        <w:t>2</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88" w:name="_Toc200113193"/>
      <w:r w:rsidRPr="00211FC2">
        <w:rPr>
          <w:rFonts w:cs="Arial"/>
          <w:lang w:eastAsia="en-US"/>
        </w:rPr>
        <w:t>Etap negocjacji</w:t>
      </w:r>
      <w:bookmarkEnd w:id="88"/>
    </w:p>
    <w:p w14:paraId="2979E0C6" w14:textId="3A5E7807" w:rsidR="007E7417" w:rsidRPr="00661BA1" w:rsidRDefault="00EA10C3"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89"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89"/>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 xml:space="preserve">przypadku podjęcia decyzji przez przewodniczącego KOP w celu usprawnienia </w:t>
      </w:r>
      <w:r w:rsidRPr="007E7417">
        <w:rPr>
          <w:rFonts w:eastAsia="Arial"/>
          <w:color w:val="000000" w:themeColor="text1"/>
          <w:sz w:val="24"/>
          <w:szCs w:val="24"/>
          <w:lang w:eastAsia="ar-SA"/>
        </w:rPr>
        <w:lastRenderedPageBreak/>
        <w:t>prac w ramach KOP, inni oceniający ze składu KOP. Ocena może być dokonywana przez jedną osobę, o ile osoba ta nie zatwierdza wyników tej oceny.</w:t>
      </w:r>
    </w:p>
    <w:p w14:paraId="1463D86E" w14:textId="11085785" w:rsidR="00DC30B6" w:rsidRPr="0014481D"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AC0068">
      <w:pPr>
        <w:pStyle w:val="Nagwek2"/>
      </w:pPr>
      <w:bookmarkStart w:id="90" w:name="_Toc200113194"/>
      <w:r w:rsidRPr="00623761">
        <w:t>Rozstrzygnięcie naboru</w:t>
      </w:r>
      <w:bookmarkEnd w:id="90"/>
      <w:r w:rsidR="00DB0EB4" w:rsidRPr="00623761">
        <w:t xml:space="preserve"> </w:t>
      </w:r>
    </w:p>
    <w:p w14:paraId="049D112D" w14:textId="1F2916A6" w:rsidR="00FD59E7" w:rsidRPr="00DC30B6" w:rsidRDefault="007E7417" w:rsidP="003C7A3F">
      <w:pPr>
        <w:pStyle w:val="Akapitzlist"/>
        <w:numPr>
          <w:ilvl w:val="0"/>
          <w:numId w:val="30"/>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3C7A3F">
      <w:pPr>
        <w:pStyle w:val="Akapitzlist"/>
        <w:numPr>
          <w:ilvl w:val="0"/>
          <w:numId w:val="30"/>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3C7A3F">
      <w:pPr>
        <w:pStyle w:val="Akapitzlist"/>
        <w:numPr>
          <w:ilvl w:val="0"/>
          <w:numId w:val="30"/>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91" w:name="_Toc200113195"/>
      <w:r w:rsidRPr="00211FC2">
        <w:t>Procedura odwoławcza</w:t>
      </w:r>
      <w:bookmarkEnd w:id="91"/>
    </w:p>
    <w:p w14:paraId="2A014EEC" w14:textId="5BABC712" w:rsidR="000E0DB7" w:rsidRPr="00211FC2" w:rsidRDefault="00506F14" w:rsidP="003C7A3F">
      <w:pPr>
        <w:pStyle w:val="Akapitzlist"/>
        <w:numPr>
          <w:ilvl w:val="0"/>
          <w:numId w:val="39"/>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lastRenderedPageBreak/>
        <w:t>Wnioskodawca może wnieść protest w terminie 14 dni kalendarzowych od dnia doręczenia informacji o wynikach oceny złożonego przez wnioskodawcę projektu.</w:t>
      </w:r>
    </w:p>
    <w:p w14:paraId="35EBF6F4" w14:textId="07DB2864" w:rsidR="00506F14"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3C7A3F">
      <w:pPr>
        <w:pStyle w:val="Akapitzlist"/>
        <w:numPr>
          <w:ilvl w:val="0"/>
          <w:numId w:val="104"/>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3C7A3F">
      <w:pPr>
        <w:pStyle w:val="Akapitzlist"/>
        <w:numPr>
          <w:ilvl w:val="0"/>
          <w:numId w:val="104"/>
        </w:numPr>
        <w:spacing w:after="120"/>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Pr="004E480A">
        <w:rPr>
          <w:iCs/>
          <w:color w:val="000000" w:themeColor="text1"/>
          <w:sz w:val="24"/>
          <w:szCs w:val="24"/>
        </w:rPr>
        <w:t>,</w:t>
      </w:r>
    </w:p>
    <w:p w14:paraId="6D225764" w14:textId="7777777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Na prawo wnioskodawcy do wniesienia protestu nie wpływa negatywnie błędne pouczenie albo brak pouczenia, o którym mowa w art. 56 ust. 7 ustawy </w:t>
      </w:r>
      <w:r w:rsidRPr="00211FC2">
        <w:rPr>
          <w:iCs/>
          <w:color w:val="000000" w:themeColor="text1"/>
          <w:sz w:val="24"/>
          <w:szCs w:val="24"/>
        </w:rPr>
        <w:lastRenderedPageBreak/>
        <w:t>wdrożeniowej.</w:t>
      </w:r>
    </w:p>
    <w:p w14:paraId="0BAEF325" w14:textId="6507D0A7" w:rsidR="00506F14" w:rsidRPr="008D33B3"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 xml:space="preserve">cznie 45 dni od dnia jego </w:t>
      </w:r>
      <w:r w:rsidRPr="00211FC2">
        <w:rPr>
          <w:iCs/>
          <w:color w:val="000000" w:themeColor="text1"/>
          <w:sz w:val="24"/>
          <w:szCs w:val="24"/>
        </w:rPr>
        <w:lastRenderedPageBreak/>
        <w:t>otrzymania.</w:t>
      </w:r>
    </w:p>
    <w:p w14:paraId="6539A27A" w14:textId="1B555D9C"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w:t>
      </w:r>
      <w:r w:rsidRPr="00211FC2">
        <w:rPr>
          <w:iCs/>
          <w:color w:val="000000" w:themeColor="text1"/>
          <w:sz w:val="24"/>
          <w:szCs w:val="24"/>
        </w:rPr>
        <w:lastRenderedPageBreak/>
        <w:t xml:space="preserve">informuje wnioskodawcę, wraz z pouczeniem o możliwości wniesienia skargi do sądu administracyjnego na zasadach określonych w art. 73 ustawy wdrożeniowej. </w:t>
      </w:r>
    </w:p>
    <w:p w14:paraId="49D78370"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3C7A3F">
      <w:pPr>
        <w:pStyle w:val="Akapitzlist"/>
        <w:numPr>
          <w:ilvl w:val="0"/>
          <w:numId w:val="46"/>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3C7A3F">
      <w:pPr>
        <w:pStyle w:val="Akapitzlist"/>
        <w:numPr>
          <w:ilvl w:val="0"/>
          <w:numId w:val="46"/>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3C7A3F">
      <w:pPr>
        <w:pStyle w:val="Akapitzlist"/>
        <w:numPr>
          <w:ilvl w:val="0"/>
          <w:numId w:val="46"/>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92" w:name="_Toc200113196"/>
      <w:r w:rsidRPr="00211FC2">
        <w:t>Umowa o dofinansowanie</w:t>
      </w:r>
      <w:bookmarkEnd w:id="92"/>
    </w:p>
    <w:p w14:paraId="188E2628" w14:textId="115E3C29"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3C7A3F">
      <w:pPr>
        <w:pStyle w:val="Akapitzlist"/>
        <w:numPr>
          <w:ilvl w:val="0"/>
          <w:numId w:val="79"/>
        </w:numPr>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3C7A3F">
      <w:pPr>
        <w:pStyle w:val="Akapitzlist"/>
        <w:numPr>
          <w:ilvl w:val="0"/>
          <w:numId w:val="79"/>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lastRenderedPageBreak/>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4B9E3365" w14:textId="77777777" w:rsidR="00611E93" w:rsidRPr="00611E93" w:rsidRDefault="00611E93" w:rsidP="00611E93">
      <w:pPr>
        <w:ind w:left="426"/>
        <w:rPr>
          <w:color w:val="000000" w:themeColor="text1"/>
          <w:sz w:val="24"/>
          <w:szCs w:val="24"/>
        </w:rPr>
      </w:pPr>
      <w:r w:rsidRPr="00611E93">
        <w:rPr>
          <w:color w:val="000000" w:themeColor="text1"/>
          <w:sz w:val="24"/>
          <w:szCs w:val="24"/>
        </w:rPr>
        <w:t>Weryfikacja przez ION złożonych przez wnioskodawcę załączników do umowy jest nie dłuższa niż 60 dni od dnia otrzymania kompletu dokumentów. ION zastrzega przy tym, że nie jest związana powyższym terminem, jeśli w trakcie weryfikacji dokumenty wymagają poprawy.</w:t>
      </w:r>
    </w:p>
    <w:p w14:paraId="5376CF2C" w14:textId="77777777" w:rsidR="00611E93" w:rsidRDefault="00611E93" w:rsidP="00611E93">
      <w:pPr>
        <w:pStyle w:val="Akapitzlist"/>
        <w:shd w:val="clear" w:color="auto" w:fill="FFFFFF"/>
        <w:spacing w:before="120" w:after="120" w:line="276" w:lineRule="auto"/>
        <w:contextualSpacing w:val="0"/>
        <w:rPr>
          <w:color w:val="000000" w:themeColor="text1"/>
          <w:sz w:val="24"/>
          <w:szCs w:val="24"/>
        </w:rPr>
      </w:pP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4D2089D9" w14:textId="28E3317D" w:rsidR="006819B3" w:rsidRPr="00211FC2" w:rsidRDefault="00AB3BD5" w:rsidP="003E1AC2">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3C7A3F">
      <w:pPr>
        <w:pStyle w:val="Akapitzlist"/>
        <w:numPr>
          <w:ilvl w:val="0"/>
          <w:numId w:val="13"/>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021926AA" w:rsidR="00C56732" w:rsidRPr="006A0094"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lastRenderedPageBreak/>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93" w:name="_Toc145576978"/>
      <w:bookmarkStart w:id="94" w:name="_Toc200113197"/>
      <w:r>
        <w:t>Zabezpieczenie prawidłowej realizacji umowy</w:t>
      </w:r>
      <w:bookmarkStart w:id="95" w:name="_Hlk144207038"/>
      <w:r>
        <w:rPr>
          <w:rStyle w:val="Odwoanieprzypisudolnego"/>
        </w:rPr>
        <w:footnoteReference w:id="14"/>
      </w:r>
      <w:bookmarkEnd w:id="93"/>
      <w:bookmarkEnd w:id="94"/>
    </w:p>
    <w:bookmarkEnd w:id="95"/>
    <w:p w14:paraId="17E00F09" w14:textId="77777777" w:rsidR="006A0094" w:rsidRDefault="006A0094" w:rsidP="003C7A3F">
      <w:pPr>
        <w:pStyle w:val="Akapitzlist"/>
        <w:numPr>
          <w:ilvl w:val="0"/>
          <w:numId w:val="83"/>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3C7A3F">
      <w:pPr>
        <w:pStyle w:val="Akapitzlist"/>
        <w:numPr>
          <w:ilvl w:val="0"/>
          <w:numId w:val="84"/>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3C7A3F">
      <w:pPr>
        <w:pStyle w:val="Akapitzlist"/>
        <w:numPr>
          <w:ilvl w:val="1"/>
          <w:numId w:val="81"/>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3C7A3F">
      <w:pPr>
        <w:pStyle w:val="Akapitzlist"/>
        <w:numPr>
          <w:ilvl w:val="0"/>
          <w:numId w:val="85"/>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3C7A3F">
      <w:pPr>
        <w:pStyle w:val="Akapitzlist"/>
        <w:numPr>
          <w:ilvl w:val="0"/>
          <w:numId w:val="85"/>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 xml:space="preserve">W przypadku gdy wartość dofinansowania projektu udzielonego w formie zaliczki lub wartość dofinansowania projektu po zsumowaniu z innymi wartościami </w:t>
      </w:r>
      <w:r w:rsidRPr="004239B8">
        <w:rPr>
          <w:color w:val="000000" w:themeColor="text1"/>
          <w:sz w:val="24"/>
          <w:szCs w:val="24"/>
        </w:rPr>
        <w:lastRenderedPageBreak/>
        <w:t>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3C7A3F">
      <w:pPr>
        <w:pStyle w:val="Akapitzlist"/>
        <w:numPr>
          <w:ilvl w:val="0"/>
          <w:numId w:val="86"/>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DA3580">
      <w:pPr>
        <w:pStyle w:val="Nagwek1"/>
        <w:spacing w:after="240" w:line="23" w:lineRule="atLeast"/>
        <w:ind w:left="363" w:hanging="357"/>
        <w:rPr>
          <w:rFonts w:ascii="Arial" w:hAnsi="Arial" w:cs="Arial"/>
          <w:b/>
          <w:bCs/>
          <w:color w:val="auto"/>
          <w:sz w:val="24"/>
          <w:szCs w:val="24"/>
        </w:rPr>
      </w:pPr>
      <w:bookmarkStart w:id="96" w:name="_Toc200113198"/>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96"/>
    </w:p>
    <w:p w14:paraId="2EBB2E6A" w14:textId="77777777" w:rsidR="00915309" w:rsidRDefault="00CC24E6" w:rsidP="003C7A3F">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77777777" w:rsidR="00915309" w:rsidRPr="00915309" w:rsidRDefault="00915309" w:rsidP="003C7A3F">
      <w:pPr>
        <w:pStyle w:val="Akapitzlist"/>
        <w:numPr>
          <w:ilvl w:val="0"/>
          <w:numId w:val="7"/>
        </w:numPr>
        <w:spacing w:after="120" w:line="276" w:lineRule="auto"/>
        <w:ind w:left="425" w:hanging="425"/>
        <w:contextualSpacing w:val="0"/>
        <w:rPr>
          <w:b/>
          <w:sz w:val="24"/>
          <w:szCs w:val="24"/>
        </w:rPr>
      </w:pPr>
      <w:r w:rsidRPr="003A3246">
        <w:rPr>
          <w:sz w:val="24"/>
          <w:szCs w:val="24"/>
        </w:rPr>
        <w:t xml:space="preserve">Wzór umowy o dofinansowanie projektu ze środków EFS Plus (kwoty </w:t>
      </w:r>
      <w:r w:rsidRPr="003A3246">
        <w:rPr>
          <w:sz w:val="24"/>
          <w:szCs w:val="24"/>
        </w:rPr>
        <w:lastRenderedPageBreak/>
        <w:t>ryczałtowe).</w:t>
      </w:r>
    </w:p>
    <w:p w14:paraId="35C529CE" w14:textId="77777777" w:rsidR="00915309" w:rsidRPr="00915309" w:rsidRDefault="00352A1A" w:rsidP="003C7A3F">
      <w:pPr>
        <w:pStyle w:val="Akapitzlist"/>
        <w:numPr>
          <w:ilvl w:val="0"/>
          <w:numId w:val="7"/>
        </w:numPr>
        <w:spacing w:after="120" w:line="276" w:lineRule="auto"/>
        <w:ind w:left="425" w:hanging="425"/>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66D0707A"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915309">
        <w:rPr>
          <w:spacing w:val="-2"/>
          <w:sz w:val="24"/>
          <w:szCs w:val="24"/>
        </w:rPr>
        <w:t>4</w:t>
      </w:r>
      <w:r w:rsidR="006F5267" w:rsidRPr="0014481D">
        <w:rPr>
          <w:spacing w:val="-2"/>
          <w:sz w:val="24"/>
          <w:szCs w:val="24"/>
        </w:rPr>
        <w:t xml:space="preserve"> </w:t>
      </w:r>
      <w:r w:rsidR="00915309">
        <w:rPr>
          <w:spacing w:val="-2"/>
          <w:sz w:val="24"/>
          <w:szCs w:val="24"/>
        </w:rPr>
        <w:t>Wspieranie uczenia się przez całe życie</w:t>
      </w:r>
      <w:r w:rsidR="006F5267" w:rsidRPr="0014481D">
        <w:rPr>
          <w:spacing w:val="-2"/>
          <w:sz w:val="24"/>
          <w:szCs w:val="24"/>
        </w:rPr>
        <w:t xml:space="preserve">, Typ projektu: </w:t>
      </w:r>
      <w:r w:rsidR="00915309">
        <w:rPr>
          <w:spacing w:val="-2"/>
          <w:sz w:val="24"/>
          <w:szCs w:val="24"/>
        </w:rPr>
        <w:t>2</w:t>
      </w:r>
      <w:r w:rsidR="006F5267" w:rsidRPr="0014481D">
        <w:rPr>
          <w:spacing w:val="-2"/>
          <w:sz w:val="24"/>
          <w:szCs w:val="24"/>
        </w:rPr>
        <w:t xml:space="preserve">: </w:t>
      </w:r>
      <w:r w:rsidR="00915309">
        <w:rPr>
          <w:spacing w:val="-2"/>
          <w:sz w:val="24"/>
          <w:szCs w:val="24"/>
        </w:rPr>
        <w:t>Lokalne inicjatywy na rzecz kształcenia osób dorosłych (na przykładzie LOWE) realizowane poza systemem BUR i PSF</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E41790">
      <w:pPr>
        <w:spacing w:after="120" w:line="276" w:lineRule="auto"/>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9E0717">
      <w:pPr>
        <w:spacing w:after="120" w:line="276" w:lineRule="auto"/>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3C7A3F">
      <w:pPr>
        <w:pStyle w:val="Akapitzlist"/>
        <w:numPr>
          <w:ilvl w:val="0"/>
          <w:numId w:val="120"/>
        </w:numPr>
        <w:spacing w:after="120" w:line="276" w:lineRule="auto"/>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formalnego nr 2 - </w:t>
      </w:r>
      <w:r w:rsidRPr="009E0717">
        <w:rPr>
          <w:sz w:val="24"/>
          <w:szCs w:val="24"/>
        </w:rPr>
        <w:t>wykluczenia z możliwości otrzymania dofinansowania.</w:t>
      </w:r>
    </w:p>
    <w:p w14:paraId="30817808" w14:textId="77777777" w:rsidR="009044A5" w:rsidRDefault="006130D8" w:rsidP="003C7A3F">
      <w:pPr>
        <w:pStyle w:val="Akapitzlist"/>
        <w:numPr>
          <w:ilvl w:val="0"/>
          <w:numId w:val="120"/>
        </w:numPr>
        <w:spacing w:after="120" w:line="276" w:lineRule="auto"/>
        <w:ind w:left="425"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3C7A3F">
      <w:pPr>
        <w:pStyle w:val="Akapitzlist"/>
        <w:numPr>
          <w:ilvl w:val="0"/>
          <w:numId w:val="120"/>
        </w:numPr>
        <w:spacing w:after="120" w:line="276" w:lineRule="auto"/>
        <w:ind w:left="425"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2D5768FA" w14:textId="77777777" w:rsidR="009044A5" w:rsidRPr="009044A5" w:rsidRDefault="00EB13FA" w:rsidP="003C7A3F">
      <w:pPr>
        <w:pStyle w:val="Akapitzlist"/>
        <w:numPr>
          <w:ilvl w:val="0"/>
          <w:numId w:val="120"/>
        </w:numPr>
        <w:spacing w:after="120" w:line="276" w:lineRule="auto"/>
        <w:ind w:left="425" w:hanging="357"/>
        <w:contextualSpacing w:val="0"/>
        <w:rPr>
          <w:sz w:val="24"/>
          <w:szCs w:val="24"/>
        </w:rPr>
      </w:pPr>
      <w:r w:rsidRPr="009044A5">
        <w:rPr>
          <w:bCs/>
          <w:sz w:val="24"/>
          <w:szCs w:val="24"/>
        </w:rPr>
        <w:t>Model funkcjonowania LOWE</w:t>
      </w:r>
      <w:r w:rsidR="00915309" w:rsidRPr="009044A5">
        <w:rPr>
          <w:bCs/>
          <w:sz w:val="24"/>
          <w:szCs w:val="24"/>
        </w:rPr>
        <w:t xml:space="preserve"> (Lokalnych Ośrodków Wiedzy i Edukacji) w drugim etapie ich rozwoju w latach 2019-2023</w:t>
      </w:r>
      <w:r w:rsidR="009E0717" w:rsidRPr="009044A5">
        <w:rPr>
          <w:bCs/>
          <w:sz w:val="24"/>
          <w:szCs w:val="24"/>
        </w:rPr>
        <w:t>.</w:t>
      </w:r>
    </w:p>
    <w:p w14:paraId="6C028A98" w14:textId="77777777" w:rsidR="002E3AEB" w:rsidRDefault="007D1E4D" w:rsidP="003C7A3F">
      <w:pPr>
        <w:pStyle w:val="Akapitzlist"/>
        <w:numPr>
          <w:ilvl w:val="0"/>
          <w:numId w:val="120"/>
        </w:numPr>
        <w:spacing w:after="120" w:line="276" w:lineRule="auto"/>
        <w:ind w:left="425"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2B63F490" w14:textId="7154DE86" w:rsidR="002E3AEB" w:rsidRPr="002E3AEB" w:rsidRDefault="002E3AEB" w:rsidP="003C7A3F">
      <w:pPr>
        <w:pStyle w:val="Akapitzlist"/>
        <w:numPr>
          <w:ilvl w:val="0"/>
          <w:numId w:val="120"/>
        </w:numPr>
        <w:spacing w:after="120" w:line="276" w:lineRule="auto"/>
        <w:ind w:left="425"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p w14:paraId="4CA28DC2" w14:textId="77777777" w:rsidR="007D1E4D" w:rsidRPr="00661BA1" w:rsidRDefault="007D1E4D" w:rsidP="00661BA1">
      <w:pPr>
        <w:spacing w:before="120" w:line="276" w:lineRule="auto"/>
        <w:rPr>
          <w:sz w:val="24"/>
          <w:szCs w:val="24"/>
        </w:rPr>
      </w:pPr>
    </w:p>
    <w:sectPr w:rsidR="007D1E4D" w:rsidRPr="00661BA1" w:rsidSect="00B5054C">
      <w:footerReference w:type="default" r:id="rId19"/>
      <w:headerReference w:type="first" r:id="rId2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9322" w14:textId="77777777" w:rsidR="004014B1" w:rsidRDefault="004014B1" w:rsidP="004B6FA1">
      <w:r>
        <w:separator/>
      </w:r>
    </w:p>
  </w:endnote>
  <w:endnote w:type="continuationSeparator" w:id="0">
    <w:p w14:paraId="670234CA" w14:textId="77777777" w:rsidR="004014B1" w:rsidRDefault="004014B1"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BFE2" w14:textId="77777777" w:rsidR="004014B1" w:rsidRDefault="004014B1" w:rsidP="004B6FA1">
      <w:r>
        <w:separator/>
      </w:r>
    </w:p>
  </w:footnote>
  <w:footnote w:type="continuationSeparator" w:id="0">
    <w:p w14:paraId="09F0D058" w14:textId="77777777" w:rsidR="004014B1" w:rsidRDefault="004014B1" w:rsidP="004B6FA1">
      <w:r>
        <w:continuationSeparator/>
      </w:r>
    </w:p>
  </w:footnote>
  <w:footnote w:id="1">
    <w:p w14:paraId="340EDFDC" w14:textId="5BD1E1C7" w:rsidR="00FF0868" w:rsidRPr="003C5CD2" w:rsidRDefault="00FF0868" w:rsidP="003C5CD2">
      <w:pPr>
        <w:spacing w:before="120"/>
      </w:pPr>
      <w:r>
        <w:rPr>
          <w:rStyle w:val="Odwoanieprzypisudolnego"/>
        </w:rPr>
        <w:footnoteRef/>
      </w:r>
      <w:r>
        <w:t xml:space="preserve"> O</w:t>
      </w:r>
      <w:r w:rsidRPr="003A6011">
        <w:t>cena umiejętności cyfrowych dokonywana jest z wykorzystaniem „Europejskiego narzędzia do oceny poziomu kompetencji cyfrowych”</w:t>
      </w:r>
      <w:r w:rsidR="003C5CD2">
        <w:t xml:space="preserve"> </w:t>
      </w:r>
      <w:r w:rsidRPr="003C5CD2">
        <w:t>(</w:t>
      </w:r>
      <w:hyperlink r:id="rId1" w:history="1">
        <w:r w:rsidRPr="003C5CD2">
          <w:rPr>
            <w:rStyle w:val="Hipercze"/>
          </w:rPr>
          <w:t>https://europa.eu/europass/digitalskills/screen/questionnaire/generic</w:t>
        </w:r>
      </w:hyperlink>
      <w:r w:rsidRPr="003C5CD2">
        <w:t xml:space="preserve"> </w:t>
      </w:r>
      <w:r w:rsidRPr="003C5CD2">
        <w:rPr>
          <w:rFonts w:eastAsia="Calibri"/>
          <w:lang w:eastAsia="en-US"/>
        </w:rPr>
        <w:t>lub innego narzędzia rekomendowanego przez ministra właściwego do spraw pracy.</w:t>
      </w:r>
    </w:p>
  </w:footnote>
  <w:footnote w:id="2">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34EEE70C" w14:textId="6AE3D680" w:rsidR="001F67EF" w:rsidRDefault="001F67EF" w:rsidP="001F67EF">
      <w:pPr>
        <w:pStyle w:val="Tekstprzypisudolnego"/>
      </w:pPr>
      <w:r w:rsidRPr="60F0D32B">
        <w:rPr>
          <w:rStyle w:val="Odwoanieprzypisudolnego"/>
        </w:rPr>
        <w:footnoteRef/>
      </w:r>
      <w:r>
        <w:t xml:space="preserve"> </w:t>
      </w:r>
      <w:hyperlink r:id="rId2" w:history="1">
        <w:r w:rsidR="001E15EE" w:rsidRPr="00822E86">
          <w:rPr>
            <w:rStyle w:val="Hipercze"/>
          </w:rPr>
          <w:t>https://joint-research-centre.ec.europa.eu/digcomp_en</w:t>
        </w:r>
      </w:hyperlink>
      <w:r w:rsidR="001E15EE">
        <w:t xml:space="preserve"> </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3"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6"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8"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1"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25E2E5B"/>
    <w:multiLevelType w:val="hybridMultilevel"/>
    <w:tmpl w:val="99920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1"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3"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6"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7"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09"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0"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DF3240C"/>
    <w:multiLevelType w:val="hybridMultilevel"/>
    <w:tmpl w:val="1AAA6F3E"/>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22"/>
  </w:num>
  <w:num w:numId="2" w16cid:durableId="90391645">
    <w:abstractNumId w:val="103"/>
  </w:num>
  <w:num w:numId="3" w16cid:durableId="1759909662">
    <w:abstractNumId w:val="2"/>
  </w:num>
  <w:num w:numId="4" w16cid:durableId="1341352307">
    <w:abstractNumId w:val="71"/>
  </w:num>
  <w:num w:numId="5" w16cid:durableId="1515457692">
    <w:abstractNumId w:val="53"/>
  </w:num>
  <w:num w:numId="6" w16cid:durableId="1139148350">
    <w:abstractNumId w:val="74"/>
  </w:num>
  <w:num w:numId="7" w16cid:durableId="199712008">
    <w:abstractNumId w:val="79"/>
  </w:num>
  <w:num w:numId="8" w16cid:durableId="456529169">
    <w:abstractNumId w:val="66"/>
  </w:num>
  <w:num w:numId="9" w16cid:durableId="1148403215">
    <w:abstractNumId w:val="51"/>
  </w:num>
  <w:num w:numId="10" w16cid:durableId="1151872981">
    <w:abstractNumId w:val="112"/>
  </w:num>
  <w:num w:numId="11" w16cid:durableId="1288394658">
    <w:abstractNumId w:val="63"/>
  </w:num>
  <w:num w:numId="12" w16cid:durableId="1846551276">
    <w:abstractNumId w:val="89"/>
  </w:num>
  <w:num w:numId="13" w16cid:durableId="1739594691">
    <w:abstractNumId w:val="68"/>
  </w:num>
  <w:num w:numId="14" w16cid:durableId="1636636873">
    <w:abstractNumId w:val="24"/>
  </w:num>
  <w:num w:numId="15" w16cid:durableId="566493858">
    <w:abstractNumId w:val="82"/>
  </w:num>
  <w:num w:numId="16" w16cid:durableId="915557111">
    <w:abstractNumId w:val="4"/>
  </w:num>
  <w:num w:numId="17" w16cid:durableId="1752773420">
    <w:abstractNumId w:val="97"/>
  </w:num>
  <w:num w:numId="18" w16cid:durableId="1288507616">
    <w:abstractNumId w:val="70"/>
  </w:num>
  <w:num w:numId="19" w16cid:durableId="686099775">
    <w:abstractNumId w:val="60"/>
  </w:num>
  <w:num w:numId="20" w16cid:durableId="1263101905">
    <w:abstractNumId w:val="46"/>
  </w:num>
  <w:num w:numId="21" w16cid:durableId="900217334">
    <w:abstractNumId w:val="16"/>
  </w:num>
  <w:num w:numId="22" w16cid:durableId="1889222349">
    <w:abstractNumId w:val="61"/>
  </w:num>
  <w:num w:numId="23" w16cid:durableId="909465699">
    <w:abstractNumId w:val="62"/>
  </w:num>
  <w:num w:numId="24" w16cid:durableId="2114859475">
    <w:abstractNumId w:val="47"/>
  </w:num>
  <w:num w:numId="25" w16cid:durableId="54015452">
    <w:abstractNumId w:val="39"/>
  </w:num>
  <w:num w:numId="26" w16cid:durableId="796752251">
    <w:abstractNumId w:val="12"/>
  </w:num>
  <w:num w:numId="27" w16cid:durableId="1610549098">
    <w:abstractNumId w:val="14"/>
  </w:num>
  <w:num w:numId="28" w16cid:durableId="1254361964">
    <w:abstractNumId w:val="29"/>
  </w:num>
  <w:num w:numId="29" w16cid:durableId="549925018">
    <w:abstractNumId w:val="88"/>
  </w:num>
  <w:num w:numId="30" w16cid:durableId="1419404632">
    <w:abstractNumId w:val="65"/>
  </w:num>
  <w:num w:numId="31" w16cid:durableId="1090009893">
    <w:abstractNumId w:val="26"/>
  </w:num>
  <w:num w:numId="32" w16cid:durableId="346368222">
    <w:abstractNumId w:val="102"/>
  </w:num>
  <w:num w:numId="33" w16cid:durableId="1470394206">
    <w:abstractNumId w:val="27"/>
  </w:num>
  <w:num w:numId="34" w16cid:durableId="550113886">
    <w:abstractNumId w:val="99"/>
  </w:num>
  <w:num w:numId="35" w16cid:durableId="2083597046">
    <w:abstractNumId w:val="109"/>
  </w:num>
  <w:num w:numId="36" w16cid:durableId="1714381384">
    <w:abstractNumId w:val="118"/>
  </w:num>
  <w:num w:numId="37" w16cid:durableId="5255652">
    <w:abstractNumId w:val="48"/>
  </w:num>
  <w:num w:numId="38" w16cid:durableId="2053528544">
    <w:abstractNumId w:val="15"/>
  </w:num>
  <w:num w:numId="39" w16cid:durableId="549538543">
    <w:abstractNumId w:val="44"/>
  </w:num>
  <w:num w:numId="40" w16cid:durableId="1746414435">
    <w:abstractNumId w:val="69"/>
  </w:num>
  <w:num w:numId="41" w16cid:durableId="1113748516">
    <w:abstractNumId w:val="96"/>
  </w:num>
  <w:num w:numId="42" w16cid:durableId="232739185">
    <w:abstractNumId w:val="115"/>
  </w:num>
  <w:num w:numId="43" w16cid:durableId="1971091633">
    <w:abstractNumId w:val="5"/>
  </w:num>
  <w:num w:numId="44" w16cid:durableId="1570068834">
    <w:abstractNumId w:val="94"/>
  </w:num>
  <w:num w:numId="45" w16cid:durableId="998966662">
    <w:abstractNumId w:val="119"/>
  </w:num>
  <w:num w:numId="46" w16cid:durableId="2090230452">
    <w:abstractNumId w:val="86"/>
  </w:num>
  <w:num w:numId="47" w16cid:durableId="273488253">
    <w:abstractNumId w:val="35"/>
  </w:num>
  <w:num w:numId="48" w16cid:durableId="1503664920">
    <w:abstractNumId w:val="56"/>
  </w:num>
  <w:num w:numId="49" w16cid:durableId="414714388">
    <w:abstractNumId w:val="0"/>
  </w:num>
  <w:num w:numId="50" w16cid:durableId="1429621844">
    <w:abstractNumId w:val="13"/>
  </w:num>
  <w:num w:numId="51" w16cid:durableId="381564582">
    <w:abstractNumId w:val="113"/>
  </w:num>
  <w:num w:numId="52" w16cid:durableId="1303652764">
    <w:abstractNumId w:val="105"/>
  </w:num>
  <w:num w:numId="53" w16cid:durableId="266350940">
    <w:abstractNumId w:val="92"/>
  </w:num>
  <w:num w:numId="54" w16cid:durableId="1568952111">
    <w:abstractNumId w:val="42"/>
  </w:num>
  <w:num w:numId="55" w16cid:durableId="1400060264">
    <w:abstractNumId w:val="17"/>
  </w:num>
  <w:num w:numId="56" w16cid:durableId="1534228787">
    <w:abstractNumId w:val="107"/>
  </w:num>
  <w:num w:numId="57" w16cid:durableId="825050196">
    <w:abstractNumId w:val="7"/>
  </w:num>
  <w:num w:numId="58" w16cid:durableId="1729717928">
    <w:abstractNumId w:val="11"/>
  </w:num>
  <w:num w:numId="59" w16cid:durableId="575087944">
    <w:abstractNumId w:val="95"/>
  </w:num>
  <w:num w:numId="60" w16cid:durableId="1889682351">
    <w:abstractNumId w:val="81"/>
  </w:num>
  <w:num w:numId="61" w16cid:durableId="451747714">
    <w:abstractNumId w:val="110"/>
  </w:num>
  <w:num w:numId="62" w16cid:durableId="132454369">
    <w:abstractNumId w:val="57"/>
  </w:num>
  <w:num w:numId="63" w16cid:durableId="1275476166">
    <w:abstractNumId w:val="116"/>
  </w:num>
  <w:num w:numId="64" w16cid:durableId="2122415365">
    <w:abstractNumId w:val="3"/>
  </w:num>
  <w:num w:numId="65" w16cid:durableId="1658530006">
    <w:abstractNumId w:val="72"/>
  </w:num>
  <w:num w:numId="66" w16cid:durableId="324286798">
    <w:abstractNumId w:val="36"/>
  </w:num>
  <w:num w:numId="67" w16cid:durableId="846555294">
    <w:abstractNumId w:val="58"/>
  </w:num>
  <w:num w:numId="68" w16cid:durableId="1055205260">
    <w:abstractNumId w:val="91"/>
  </w:num>
  <w:num w:numId="69" w16cid:durableId="1426609738">
    <w:abstractNumId w:val="84"/>
  </w:num>
  <w:num w:numId="70" w16cid:durableId="448860593">
    <w:abstractNumId w:val="30"/>
  </w:num>
  <w:num w:numId="71" w16cid:durableId="1812362979">
    <w:abstractNumId w:val="33"/>
  </w:num>
  <w:num w:numId="72" w16cid:durableId="2111195452">
    <w:abstractNumId w:val="78"/>
  </w:num>
  <w:num w:numId="73" w16cid:durableId="326858404">
    <w:abstractNumId w:val="52"/>
  </w:num>
  <w:num w:numId="74" w16cid:durableId="1898317405">
    <w:abstractNumId w:val="67"/>
  </w:num>
  <w:num w:numId="75" w16cid:durableId="922298634">
    <w:abstractNumId w:val="22"/>
  </w:num>
  <w:num w:numId="76" w16cid:durableId="236327616">
    <w:abstractNumId w:val="6"/>
  </w:num>
  <w:num w:numId="77" w16cid:durableId="1976985996">
    <w:abstractNumId w:val="100"/>
  </w:num>
  <w:num w:numId="78" w16cid:durableId="995452700">
    <w:abstractNumId w:val="98"/>
  </w:num>
  <w:num w:numId="79" w16cid:durableId="2116972827">
    <w:abstractNumId w:val="87"/>
  </w:num>
  <w:num w:numId="80" w16cid:durableId="1656300555">
    <w:abstractNumId w:val="111"/>
  </w:num>
  <w:num w:numId="81" w16cid:durableId="751005861">
    <w:abstractNumId w:val="45"/>
  </w:num>
  <w:num w:numId="82" w16cid:durableId="1640374644">
    <w:abstractNumId w:val="10"/>
  </w:num>
  <w:num w:numId="83" w16cid:durableId="1014310182">
    <w:abstractNumId w:val="90"/>
  </w:num>
  <w:num w:numId="84" w16cid:durableId="1584604666">
    <w:abstractNumId w:val="34"/>
  </w:num>
  <w:num w:numId="85" w16cid:durableId="1708413684">
    <w:abstractNumId w:val="37"/>
  </w:num>
  <w:num w:numId="86" w16cid:durableId="561062289">
    <w:abstractNumId w:val="93"/>
  </w:num>
  <w:num w:numId="87" w16cid:durableId="1921452115">
    <w:abstractNumId w:val="8"/>
  </w:num>
  <w:num w:numId="88" w16cid:durableId="498077873">
    <w:abstractNumId w:val="114"/>
  </w:num>
  <w:num w:numId="89" w16cid:durableId="835535202">
    <w:abstractNumId w:val="20"/>
  </w:num>
  <w:num w:numId="90" w16cid:durableId="91364830">
    <w:abstractNumId w:val="120"/>
  </w:num>
  <w:num w:numId="91" w16cid:durableId="137429454">
    <w:abstractNumId w:val="117"/>
  </w:num>
  <w:num w:numId="92" w16cid:durableId="236212030">
    <w:abstractNumId w:val="49"/>
  </w:num>
  <w:num w:numId="93" w16cid:durableId="1919442041">
    <w:abstractNumId w:val="54"/>
  </w:num>
  <w:num w:numId="94" w16cid:durableId="843862135">
    <w:abstractNumId w:val="121"/>
  </w:num>
  <w:num w:numId="95" w16cid:durableId="1179854461">
    <w:abstractNumId w:val="77"/>
  </w:num>
  <w:num w:numId="96" w16cid:durableId="890773698">
    <w:abstractNumId w:val="9"/>
  </w:num>
  <w:num w:numId="97" w16cid:durableId="1700618626">
    <w:abstractNumId w:val="31"/>
  </w:num>
  <w:num w:numId="98" w16cid:durableId="1972782181">
    <w:abstractNumId w:val="18"/>
  </w:num>
  <w:num w:numId="99" w16cid:durableId="329065759">
    <w:abstractNumId w:val="32"/>
  </w:num>
  <w:num w:numId="100" w16cid:durableId="1307468844">
    <w:abstractNumId w:val="40"/>
  </w:num>
  <w:num w:numId="101" w16cid:durableId="1100560908">
    <w:abstractNumId w:val="38"/>
  </w:num>
  <w:num w:numId="102" w16cid:durableId="2084176554">
    <w:abstractNumId w:val="108"/>
  </w:num>
  <w:num w:numId="103" w16cid:durableId="1392574977">
    <w:abstractNumId w:val="85"/>
  </w:num>
  <w:num w:numId="104" w16cid:durableId="1316952485">
    <w:abstractNumId w:val="28"/>
  </w:num>
  <w:num w:numId="105" w16cid:durableId="123502292">
    <w:abstractNumId w:val="50"/>
  </w:num>
  <w:num w:numId="106" w16cid:durableId="1960141119">
    <w:abstractNumId w:val="23"/>
  </w:num>
  <w:num w:numId="107" w16cid:durableId="1962223986">
    <w:abstractNumId w:val="41"/>
  </w:num>
  <w:num w:numId="108" w16cid:durableId="27949644">
    <w:abstractNumId w:val="76"/>
  </w:num>
  <w:num w:numId="109" w16cid:durableId="52849949">
    <w:abstractNumId w:val="1"/>
  </w:num>
  <w:num w:numId="110" w16cid:durableId="527913758">
    <w:abstractNumId w:val="83"/>
  </w:num>
  <w:num w:numId="111" w16cid:durableId="1400980736">
    <w:abstractNumId w:val="104"/>
  </w:num>
  <w:num w:numId="112" w16cid:durableId="1976400634">
    <w:abstractNumId w:val="25"/>
  </w:num>
  <w:num w:numId="113" w16cid:durableId="2144807700">
    <w:abstractNumId w:val="75"/>
  </w:num>
  <w:num w:numId="114" w16cid:durableId="1985351090">
    <w:abstractNumId w:val="73"/>
  </w:num>
  <w:num w:numId="115" w16cid:durableId="714702035">
    <w:abstractNumId w:val="64"/>
  </w:num>
  <w:num w:numId="116" w16cid:durableId="1532723028">
    <w:abstractNumId w:val="19"/>
  </w:num>
  <w:num w:numId="117" w16cid:durableId="53312278">
    <w:abstractNumId w:val="80"/>
  </w:num>
  <w:num w:numId="118" w16cid:durableId="1932857388">
    <w:abstractNumId w:val="106"/>
  </w:num>
  <w:num w:numId="119" w16cid:durableId="880285279">
    <w:abstractNumId w:val="101"/>
  </w:num>
  <w:num w:numId="120" w16cid:durableId="1445270910">
    <w:abstractNumId w:val="59"/>
  </w:num>
  <w:num w:numId="121" w16cid:durableId="892235274">
    <w:abstractNumId w:val="55"/>
  </w:num>
  <w:num w:numId="122" w16cid:durableId="829753421">
    <w:abstractNumId w:val="21"/>
  </w:num>
  <w:num w:numId="123" w16cid:durableId="1450078333">
    <w:abstractNumId w:val="4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06CCA"/>
    <w:rsid w:val="00011AAC"/>
    <w:rsid w:val="0001235D"/>
    <w:rsid w:val="00012634"/>
    <w:rsid w:val="00013D44"/>
    <w:rsid w:val="00014096"/>
    <w:rsid w:val="00016354"/>
    <w:rsid w:val="000164FF"/>
    <w:rsid w:val="000171B3"/>
    <w:rsid w:val="00020056"/>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480F"/>
    <w:rsid w:val="00056E8E"/>
    <w:rsid w:val="00057852"/>
    <w:rsid w:val="00057F3A"/>
    <w:rsid w:val="00060883"/>
    <w:rsid w:val="00060E6C"/>
    <w:rsid w:val="000616C4"/>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2320"/>
    <w:rsid w:val="00173C84"/>
    <w:rsid w:val="0017579E"/>
    <w:rsid w:val="00175AA6"/>
    <w:rsid w:val="00176A5A"/>
    <w:rsid w:val="00176AF4"/>
    <w:rsid w:val="00176CFA"/>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1E03"/>
    <w:rsid w:val="00263874"/>
    <w:rsid w:val="00263D86"/>
    <w:rsid w:val="002643E6"/>
    <w:rsid w:val="002645BD"/>
    <w:rsid w:val="002721FB"/>
    <w:rsid w:val="00273C41"/>
    <w:rsid w:val="00276A45"/>
    <w:rsid w:val="00276C31"/>
    <w:rsid w:val="0027762F"/>
    <w:rsid w:val="00280EC6"/>
    <w:rsid w:val="0028219D"/>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8A3"/>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0B03"/>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07DBF"/>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26"/>
    <w:rsid w:val="003A57C2"/>
    <w:rsid w:val="003A70E8"/>
    <w:rsid w:val="003B0CB8"/>
    <w:rsid w:val="003B1BC1"/>
    <w:rsid w:val="003B1C38"/>
    <w:rsid w:val="003B2AEC"/>
    <w:rsid w:val="003B2EC9"/>
    <w:rsid w:val="003B3F5C"/>
    <w:rsid w:val="003B6D06"/>
    <w:rsid w:val="003B728E"/>
    <w:rsid w:val="003C01A1"/>
    <w:rsid w:val="003C0BE2"/>
    <w:rsid w:val="003C1623"/>
    <w:rsid w:val="003C1C22"/>
    <w:rsid w:val="003C308A"/>
    <w:rsid w:val="003C328C"/>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21B2"/>
    <w:rsid w:val="003F3075"/>
    <w:rsid w:val="003F3B1A"/>
    <w:rsid w:val="003F416B"/>
    <w:rsid w:val="00400B4D"/>
    <w:rsid w:val="004014B1"/>
    <w:rsid w:val="00402A20"/>
    <w:rsid w:val="00403A6B"/>
    <w:rsid w:val="0040449E"/>
    <w:rsid w:val="004045DA"/>
    <w:rsid w:val="00404741"/>
    <w:rsid w:val="00407898"/>
    <w:rsid w:val="00407CF3"/>
    <w:rsid w:val="00411149"/>
    <w:rsid w:val="00415169"/>
    <w:rsid w:val="004161CC"/>
    <w:rsid w:val="00416BDF"/>
    <w:rsid w:val="0042026C"/>
    <w:rsid w:val="0042184F"/>
    <w:rsid w:val="00421E37"/>
    <w:rsid w:val="00422E0C"/>
    <w:rsid w:val="004233EA"/>
    <w:rsid w:val="0042396F"/>
    <w:rsid w:val="00426B69"/>
    <w:rsid w:val="00431FE5"/>
    <w:rsid w:val="00432668"/>
    <w:rsid w:val="00432DF9"/>
    <w:rsid w:val="00434A95"/>
    <w:rsid w:val="00435646"/>
    <w:rsid w:val="00436110"/>
    <w:rsid w:val="00436D92"/>
    <w:rsid w:val="004415AC"/>
    <w:rsid w:val="00442B30"/>
    <w:rsid w:val="004431D6"/>
    <w:rsid w:val="0044409B"/>
    <w:rsid w:val="00445DA8"/>
    <w:rsid w:val="00445E78"/>
    <w:rsid w:val="00446952"/>
    <w:rsid w:val="00446CB0"/>
    <w:rsid w:val="00446F28"/>
    <w:rsid w:val="004505C3"/>
    <w:rsid w:val="004506B3"/>
    <w:rsid w:val="00455FB4"/>
    <w:rsid w:val="00457529"/>
    <w:rsid w:val="00461A4C"/>
    <w:rsid w:val="00462159"/>
    <w:rsid w:val="00473C15"/>
    <w:rsid w:val="0047402C"/>
    <w:rsid w:val="00475495"/>
    <w:rsid w:val="00475E61"/>
    <w:rsid w:val="00481C11"/>
    <w:rsid w:val="00481DB1"/>
    <w:rsid w:val="004827B1"/>
    <w:rsid w:val="00483935"/>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1E48"/>
    <w:rsid w:val="004C3803"/>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23A7"/>
    <w:rsid w:val="0056415E"/>
    <w:rsid w:val="00565528"/>
    <w:rsid w:val="0056606D"/>
    <w:rsid w:val="005667C2"/>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9F7"/>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478"/>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CEF"/>
    <w:rsid w:val="005E2EDA"/>
    <w:rsid w:val="005E3606"/>
    <w:rsid w:val="005E4620"/>
    <w:rsid w:val="005E5693"/>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1E93"/>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9B3"/>
    <w:rsid w:val="00682570"/>
    <w:rsid w:val="00684288"/>
    <w:rsid w:val="006849D1"/>
    <w:rsid w:val="00684E3A"/>
    <w:rsid w:val="006858C5"/>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701945"/>
    <w:rsid w:val="00703DD8"/>
    <w:rsid w:val="00704042"/>
    <w:rsid w:val="00705150"/>
    <w:rsid w:val="00705192"/>
    <w:rsid w:val="0070565F"/>
    <w:rsid w:val="00705D66"/>
    <w:rsid w:val="007104C2"/>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1CD7"/>
    <w:rsid w:val="00742342"/>
    <w:rsid w:val="00750783"/>
    <w:rsid w:val="007536BD"/>
    <w:rsid w:val="00753830"/>
    <w:rsid w:val="007544B4"/>
    <w:rsid w:val="00755860"/>
    <w:rsid w:val="007564F5"/>
    <w:rsid w:val="00757DE1"/>
    <w:rsid w:val="00762172"/>
    <w:rsid w:val="00763E80"/>
    <w:rsid w:val="0076444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F2A95"/>
    <w:rsid w:val="007F2AA4"/>
    <w:rsid w:val="007F3E95"/>
    <w:rsid w:val="007F4449"/>
    <w:rsid w:val="007F4513"/>
    <w:rsid w:val="007F5619"/>
    <w:rsid w:val="007F63A3"/>
    <w:rsid w:val="007F6AF5"/>
    <w:rsid w:val="00800516"/>
    <w:rsid w:val="008025B3"/>
    <w:rsid w:val="00804225"/>
    <w:rsid w:val="00805DFF"/>
    <w:rsid w:val="00806BDF"/>
    <w:rsid w:val="00807928"/>
    <w:rsid w:val="00812415"/>
    <w:rsid w:val="00814E17"/>
    <w:rsid w:val="008159BB"/>
    <w:rsid w:val="00817607"/>
    <w:rsid w:val="00822A49"/>
    <w:rsid w:val="00823A58"/>
    <w:rsid w:val="00826969"/>
    <w:rsid w:val="008269BE"/>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AD2"/>
    <w:rsid w:val="00854448"/>
    <w:rsid w:val="00854FFB"/>
    <w:rsid w:val="0085655E"/>
    <w:rsid w:val="00860CDD"/>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487"/>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1C20"/>
    <w:rsid w:val="00903839"/>
    <w:rsid w:val="009044A5"/>
    <w:rsid w:val="00904AB6"/>
    <w:rsid w:val="00904C1F"/>
    <w:rsid w:val="00905EC7"/>
    <w:rsid w:val="009078E8"/>
    <w:rsid w:val="009108A0"/>
    <w:rsid w:val="00912EA7"/>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3626"/>
    <w:rsid w:val="009A457D"/>
    <w:rsid w:val="009A4DEF"/>
    <w:rsid w:val="009A550D"/>
    <w:rsid w:val="009A5D13"/>
    <w:rsid w:val="009A69A0"/>
    <w:rsid w:val="009B0F7E"/>
    <w:rsid w:val="009B4377"/>
    <w:rsid w:val="009B536A"/>
    <w:rsid w:val="009B7CD4"/>
    <w:rsid w:val="009C12E9"/>
    <w:rsid w:val="009C2BE9"/>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717"/>
    <w:rsid w:val="009E298B"/>
    <w:rsid w:val="009E2B12"/>
    <w:rsid w:val="009E3088"/>
    <w:rsid w:val="009E312D"/>
    <w:rsid w:val="009E41E2"/>
    <w:rsid w:val="009E45A0"/>
    <w:rsid w:val="009E5748"/>
    <w:rsid w:val="009E5AD3"/>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FC2"/>
    <w:rsid w:val="00A544F4"/>
    <w:rsid w:val="00A57652"/>
    <w:rsid w:val="00A60327"/>
    <w:rsid w:val="00A60BED"/>
    <w:rsid w:val="00A61482"/>
    <w:rsid w:val="00A63F60"/>
    <w:rsid w:val="00A65654"/>
    <w:rsid w:val="00A65BA2"/>
    <w:rsid w:val="00A66BA2"/>
    <w:rsid w:val="00A66E8F"/>
    <w:rsid w:val="00A67723"/>
    <w:rsid w:val="00A70156"/>
    <w:rsid w:val="00A72D82"/>
    <w:rsid w:val="00A73A6A"/>
    <w:rsid w:val="00A73F91"/>
    <w:rsid w:val="00A74010"/>
    <w:rsid w:val="00A74EF6"/>
    <w:rsid w:val="00A753B4"/>
    <w:rsid w:val="00A76928"/>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5477"/>
    <w:rsid w:val="00AC7D95"/>
    <w:rsid w:val="00AD43E9"/>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85F"/>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7E34"/>
    <w:rsid w:val="00BD029A"/>
    <w:rsid w:val="00BD1837"/>
    <w:rsid w:val="00BD2887"/>
    <w:rsid w:val="00BD2ACB"/>
    <w:rsid w:val="00BD3BD7"/>
    <w:rsid w:val="00BD4A71"/>
    <w:rsid w:val="00BD63E9"/>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37FB"/>
    <w:rsid w:val="00C04A02"/>
    <w:rsid w:val="00C05B15"/>
    <w:rsid w:val="00C06071"/>
    <w:rsid w:val="00C060D7"/>
    <w:rsid w:val="00C07371"/>
    <w:rsid w:val="00C07706"/>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7109E"/>
    <w:rsid w:val="00C71F74"/>
    <w:rsid w:val="00C74B8F"/>
    <w:rsid w:val="00C74D43"/>
    <w:rsid w:val="00C75AE8"/>
    <w:rsid w:val="00C80DEB"/>
    <w:rsid w:val="00C8192C"/>
    <w:rsid w:val="00C81D84"/>
    <w:rsid w:val="00C81D89"/>
    <w:rsid w:val="00C842D7"/>
    <w:rsid w:val="00C843A1"/>
    <w:rsid w:val="00C84CE9"/>
    <w:rsid w:val="00C85AC3"/>
    <w:rsid w:val="00C86A2A"/>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366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14AA"/>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5847"/>
    <w:rsid w:val="00D7739C"/>
    <w:rsid w:val="00D80A72"/>
    <w:rsid w:val="00D81516"/>
    <w:rsid w:val="00D815E4"/>
    <w:rsid w:val="00D81C65"/>
    <w:rsid w:val="00D83367"/>
    <w:rsid w:val="00D83725"/>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30B6"/>
    <w:rsid w:val="00DC4337"/>
    <w:rsid w:val="00DC52C5"/>
    <w:rsid w:val="00DC5B4D"/>
    <w:rsid w:val="00DD21F2"/>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FDB"/>
    <w:rsid w:val="00E75B29"/>
    <w:rsid w:val="00E76B74"/>
    <w:rsid w:val="00E76BC8"/>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509B"/>
    <w:rsid w:val="00F25610"/>
    <w:rsid w:val="00F26E52"/>
    <w:rsid w:val="00F27089"/>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3E43"/>
    <w:rsid w:val="00F44CE8"/>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5382"/>
    <w:rsid w:val="00FC5492"/>
    <w:rsid w:val="00FC64EF"/>
    <w:rsid w:val="00FD0D0B"/>
    <w:rsid w:val="00FD1D98"/>
    <w:rsid w:val="00FD2562"/>
    <w:rsid w:val="00FD2764"/>
    <w:rsid w:val="00FD3175"/>
    <w:rsid w:val="00FD401F"/>
    <w:rsid w:val="00FD59E7"/>
    <w:rsid w:val="00FD5A37"/>
    <w:rsid w:val="00FE0A5D"/>
    <w:rsid w:val="00FE1A8F"/>
    <w:rsid w:val="00FE2D76"/>
    <w:rsid w:val="00FE5758"/>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805587796">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ec.europa.eu/eurostat/web/nuts/local-administrative-un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s://www.ewaluacja.gov.pl/strony/monitorowanie/lista-wskaznikow-programowych/lista-wskaznikow-specyficznych-dla-programu-fundusze-europejskie-dla-podlaskiego-2021-2027/"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efs-archiwum.men.gov.pl/wp-content/uploads/2023/10/Model_funkcjonowania_LOWE.pdf"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joint-research-centre.ec.europa.eu/digcomp_en" TargetMode="External"/><Relationship Id="rId1" Type="http://schemas.openxmlformats.org/officeDocument/2006/relationships/hyperlink" Target="https://europa.eu/europass/digitalskills/screen/questionnaire/gene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Pages>
  <Words>25622</Words>
  <Characters>153738</Characters>
  <Application>Microsoft Office Word</Application>
  <DocSecurity>0</DocSecurity>
  <Lines>1281</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Agnieszka Jankiewicz</cp:lastModifiedBy>
  <cp:revision>39</cp:revision>
  <cp:lastPrinted>2025-06-24T12:51:00Z</cp:lastPrinted>
  <dcterms:created xsi:type="dcterms:W3CDTF">2024-04-03T09:55:00Z</dcterms:created>
  <dcterms:modified xsi:type="dcterms:W3CDTF">2025-06-24T12:52:00Z</dcterms:modified>
</cp:coreProperties>
</file>